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F8" w:rsidRPr="004A34F8" w:rsidRDefault="004A34F8" w:rsidP="008455F3">
      <w:pPr>
        <w:pStyle w:val="Zkladntextodsazen"/>
        <w:ind w:firstLine="0"/>
        <w:jc w:val="both"/>
        <w:rPr>
          <w:b/>
          <w:i w:val="0"/>
        </w:rPr>
      </w:pPr>
      <w:r w:rsidRPr="004A34F8">
        <w:rPr>
          <w:b/>
          <w:i w:val="0"/>
        </w:rPr>
        <w:t>Rozpočet města Jilemnice na rok 20</w:t>
      </w:r>
      <w:r w:rsidR="009E3D70">
        <w:rPr>
          <w:b/>
          <w:i w:val="0"/>
        </w:rPr>
        <w:t>21</w:t>
      </w:r>
    </w:p>
    <w:p w:rsidR="00DD097F" w:rsidRPr="005C23DD" w:rsidRDefault="00DD097F" w:rsidP="00DD097F">
      <w:pPr>
        <w:pStyle w:val="Zkladntextodsazen"/>
        <w:ind w:firstLine="284"/>
        <w:jc w:val="both"/>
      </w:pPr>
      <w:r w:rsidRPr="005C23DD">
        <w:t>Návrh rozpočtu na rok 2021 vychází z výsledků hospodaření města Jilemnice z minulého roku 2020</w:t>
      </w:r>
      <w:r>
        <w:t>,</w:t>
      </w:r>
      <w:r w:rsidRPr="005C23DD">
        <w:t xml:space="preserve"> ze schváleného státního rozpočtu na rok 202</w:t>
      </w:r>
      <w:r>
        <w:t>1</w:t>
      </w:r>
      <w:r w:rsidRPr="005C23DD">
        <w:t>, podle něhož jsou rozpočtovány daňové příjmy a dotace na výkon státní správy. Podrobný rozbor hospodaření města za rok 20</w:t>
      </w:r>
      <w:r>
        <w:t>20</w:t>
      </w:r>
      <w:r w:rsidRPr="005C23DD">
        <w:t xml:space="preserve"> spolu s výsledky hospodaření příspěvkových organizací a obchodních společností založených městem bude součástí schvalování závěrečného účtu roku </w:t>
      </w:r>
      <w:r>
        <w:t>2020</w:t>
      </w:r>
      <w:r w:rsidRPr="005C23DD">
        <w:t>.  Za rok 20</w:t>
      </w:r>
      <w:r>
        <w:t>20</w:t>
      </w:r>
      <w:r w:rsidRPr="005C23DD">
        <w:t xml:space="preserve"> byl vyhodnocen přebytek hospodaření ve výši </w:t>
      </w:r>
      <w:r>
        <w:t>36.298</w:t>
      </w:r>
      <w:r w:rsidRPr="005C23DD">
        <w:t xml:space="preserve"> tis. Kč, který je zapojen do rozpočtu roku 202</w:t>
      </w:r>
      <w:r>
        <w:t>1</w:t>
      </w:r>
      <w:r w:rsidRPr="005C23DD">
        <w:t>. Podrobné členění přehledu hospodaření za rok 20</w:t>
      </w:r>
      <w:r>
        <w:t>20</w:t>
      </w:r>
      <w:r w:rsidRPr="005C23DD">
        <w:t xml:space="preserve"> a návrhu rozpočtu na rok 20</w:t>
      </w:r>
      <w:r>
        <w:t>21</w:t>
      </w:r>
      <w:r w:rsidRPr="005C23DD">
        <w:t xml:space="preserve"> spolu s dalšími doplňujícími informacemi je v příloze.</w:t>
      </w:r>
    </w:p>
    <w:p w:rsidR="00DD097F" w:rsidRPr="006B5B2D" w:rsidRDefault="00DD097F" w:rsidP="00DD097F">
      <w:pPr>
        <w:spacing w:line="240" w:lineRule="atLeast"/>
        <w:jc w:val="both"/>
        <w:rPr>
          <w:i/>
          <w:iCs/>
          <w:sz w:val="20"/>
          <w:szCs w:val="20"/>
        </w:rPr>
      </w:pPr>
      <w:r w:rsidRPr="005C23DD">
        <w:rPr>
          <w:b/>
          <w:i/>
          <w:sz w:val="20"/>
          <w:szCs w:val="20"/>
        </w:rPr>
        <w:t>K rozpočtu běžných příjmů 202</w:t>
      </w:r>
      <w:r>
        <w:rPr>
          <w:b/>
          <w:i/>
          <w:sz w:val="20"/>
          <w:szCs w:val="20"/>
        </w:rPr>
        <w:t>1</w:t>
      </w:r>
      <w:r w:rsidRPr="005C23DD">
        <w:rPr>
          <w:i/>
          <w:sz w:val="20"/>
          <w:szCs w:val="20"/>
        </w:rPr>
        <w:t xml:space="preserve">: </w:t>
      </w:r>
      <w:r w:rsidRPr="006259CD">
        <w:rPr>
          <w:i/>
          <w:sz w:val="20"/>
          <w:szCs w:val="20"/>
        </w:rPr>
        <w:t xml:space="preserve">Návrh sdílených a výlučných daní </w:t>
      </w:r>
      <w:r>
        <w:rPr>
          <w:i/>
          <w:sz w:val="20"/>
          <w:szCs w:val="20"/>
        </w:rPr>
        <w:t xml:space="preserve">je </w:t>
      </w:r>
      <w:r w:rsidRPr="006259CD">
        <w:rPr>
          <w:i/>
          <w:sz w:val="20"/>
          <w:szCs w:val="20"/>
        </w:rPr>
        <w:t xml:space="preserve">ve výši 73.400 tis. Kč, což je 91,8% skutečnosti r. 2020. </w:t>
      </w:r>
      <w:r>
        <w:rPr>
          <w:i/>
          <w:iCs/>
          <w:sz w:val="20"/>
          <w:szCs w:val="20"/>
        </w:rPr>
        <w:t xml:space="preserve">Při rozpočtování </w:t>
      </w:r>
      <w:r w:rsidRPr="006259CD">
        <w:rPr>
          <w:i/>
          <w:iCs/>
          <w:sz w:val="20"/>
          <w:szCs w:val="20"/>
        </w:rPr>
        <w:t xml:space="preserve">jsme </w:t>
      </w:r>
      <w:r>
        <w:rPr>
          <w:i/>
          <w:iCs/>
          <w:sz w:val="20"/>
          <w:szCs w:val="20"/>
        </w:rPr>
        <w:t xml:space="preserve">vycházeli </w:t>
      </w:r>
      <w:r w:rsidRPr="006259CD">
        <w:rPr>
          <w:i/>
          <w:iCs/>
          <w:sz w:val="20"/>
          <w:szCs w:val="20"/>
        </w:rPr>
        <w:t>z predikcí MFČR</w:t>
      </w:r>
      <w:r>
        <w:rPr>
          <w:i/>
          <w:iCs/>
          <w:sz w:val="20"/>
          <w:szCs w:val="20"/>
        </w:rPr>
        <w:t>, bank, Svazu místních samospráv</w:t>
      </w:r>
      <w:r w:rsidRPr="006259CD">
        <w:rPr>
          <w:i/>
          <w:iCs/>
          <w:sz w:val="20"/>
          <w:szCs w:val="20"/>
        </w:rPr>
        <w:t xml:space="preserve"> a dlouholetých zkušeností, neboť vzhledem k nejistému vývoji celkové hospodářské situace související s průběhem aktuální epidemiologické </w:t>
      </w:r>
      <w:r>
        <w:rPr>
          <w:i/>
          <w:iCs/>
          <w:sz w:val="20"/>
          <w:szCs w:val="20"/>
        </w:rPr>
        <w:t>krize</w:t>
      </w:r>
      <w:r w:rsidRPr="006259CD">
        <w:rPr>
          <w:i/>
          <w:iCs/>
          <w:sz w:val="20"/>
          <w:szCs w:val="20"/>
        </w:rPr>
        <w:t>, nelze rozpočtované daňové příjmy přesněji predikovat.</w:t>
      </w:r>
      <w:r w:rsidRPr="005C23DD">
        <w:rPr>
          <w:i/>
          <w:sz w:val="20"/>
          <w:szCs w:val="20"/>
        </w:rPr>
        <w:t xml:space="preserve">  Správní poplatky jsou rozpočtovány v částce </w:t>
      </w:r>
      <w:r>
        <w:rPr>
          <w:i/>
          <w:sz w:val="20"/>
          <w:szCs w:val="20"/>
        </w:rPr>
        <w:t>4.535</w:t>
      </w:r>
      <w:r w:rsidRPr="005C23DD">
        <w:rPr>
          <w:i/>
          <w:sz w:val="20"/>
          <w:szCs w:val="20"/>
        </w:rPr>
        <w:t xml:space="preserve"> tis. Kč (</w:t>
      </w:r>
      <w:r>
        <w:rPr>
          <w:i/>
          <w:sz w:val="20"/>
          <w:szCs w:val="20"/>
        </w:rPr>
        <w:t>93,8</w:t>
      </w:r>
      <w:r w:rsidRPr="005C23DD">
        <w:rPr>
          <w:i/>
          <w:sz w:val="20"/>
          <w:szCs w:val="20"/>
        </w:rPr>
        <w:t>% rozpočtu 20</w:t>
      </w:r>
      <w:r>
        <w:rPr>
          <w:i/>
          <w:sz w:val="20"/>
          <w:szCs w:val="20"/>
        </w:rPr>
        <w:t>20</w:t>
      </w:r>
      <w:r w:rsidRPr="005C23DD">
        <w:rPr>
          <w:i/>
          <w:sz w:val="20"/>
          <w:szCs w:val="20"/>
        </w:rPr>
        <w:t xml:space="preserve">), místní poplatky v  částce </w:t>
      </w:r>
      <w:r>
        <w:rPr>
          <w:i/>
          <w:sz w:val="20"/>
          <w:szCs w:val="20"/>
        </w:rPr>
        <w:t>3.435</w:t>
      </w:r>
      <w:r w:rsidRPr="005C23DD">
        <w:rPr>
          <w:i/>
          <w:sz w:val="20"/>
          <w:szCs w:val="20"/>
        </w:rPr>
        <w:t xml:space="preserve"> tis. Kč (</w:t>
      </w:r>
      <w:r>
        <w:rPr>
          <w:i/>
          <w:sz w:val="20"/>
          <w:szCs w:val="20"/>
        </w:rPr>
        <w:t>102,2</w:t>
      </w:r>
      <w:r w:rsidRPr="005C23DD">
        <w:rPr>
          <w:i/>
          <w:sz w:val="20"/>
          <w:szCs w:val="20"/>
        </w:rPr>
        <w:t>% rozpočtu 20</w:t>
      </w:r>
      <w:r>
        <w:rPr>
          <w:i/>
          <w:sz w:val="20"/>
          <w:szCs w:val="20"/>
        </w:rPr>
        <w:t>20),</w:t>
      </w:r>
      <w:r w:rsidRPr="005C23D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</w:t>
      </w:r>
      <w:r w:rsidRPr="005C23DD">
        <w:rPr>
          <w:i/>
          <w:sz w:val="20"/>
          <w:szCs w:val="20"/>
        </w:rPr>
        <w:t xml:space="preserve">aň z hazardních her rozpočtujeme </w:t>
      </w:r>
      <w:r>
        <w:rPr>
          <w:i/>
          <w:sz w:val="20"/>
          <w:szCs w:val="20"/>
        </w:rPr>
        <w:t>v částce 3.250 tis. Kč (83,3% rozpočtu 2020).</w:t>
      </w:r>
      <w:r w:rsidRPr="005C23DD">
        <w:rPr>
          <w:i/>
          <w:sz w:val="20"/>
          <w:szCs w:val="20"/>
        </w:rPr>
        <w:t xml:space="preserve"> Ostatní běžné příjmy jsou rozpočtovány dle uzavřených smluv, či skutečnosti minulého roku, celkem v částce 26.</w:t>
      </w:r>
      <w:r>
        <w:rPr>
          <w:i/>
          <w:sz w:val="20"/>
          <w:szCs w:val="20"/>
        </w:rPr>
        <w:t>774</w:t>
      </w:r>
      <w:r w:rsidRPr="005C23DD">
        <w:rPr>
          <w:i/>
          <w:sz w:val="20"/>
          <w:szCs w:val="20"/>
        </w:rPr>
        <w:t xml:space="preserve"> tis. Kč (</w:t>
      </w:r>
      <w:r>
        <w:rPr>
          <w:i/>
          <w:sz w:val="20"/>
          <w:szCs w:val="20"/>
        </w:rPr>
        <w:t>101%</w:t>
      </w:r>
      <w:r w:rsidRPr="005C23DD">
        <w:rPr>
          <w:i/>
          <w:sz w:val="20"/>
          <w:szCs w:val="20"/>
        </w:rPr>
        <w:t xml:space="preserve"> rozpočtu 20</w:t>
      </w:r>
      <w:r>
        <w:rPr>
          <w:i/>
          <w:sz w:val="20"/>
          <w:szCs w:val="20"/>
        </w:rPr>
        <w:t>20</w:t>
      </w:r>
      <w:r w:rsidRPr="005C23DD">
        <w:rPr>
          <w:i/>
          <w:sz w:val="20"/>
          <w:szCs w:val="20"/>
        </w:rPr>
        <w:t>).</w:t>
      </w:r>
      <w:r w:rsidRPr="005C23DD">
        <w:rPr>
          <w:b/>
          <w:i/>
          <w:sz w:val="20"/>
          <w:szCs w:val="20"/>
        </w:rPr>
        <w:t xml:space="preserve"> </w:t>
      </w:r>
    </w:p>
    <w:p w:rsidR="00DD097F" w:rsidRDefault="00DD097F" w:rsidP="00DD097F">
      <w:pPr>
        <w:ind w:firstLine="284"/>
        <w:jc w:val="both"/>
        <w:rPr>
          <w:i/>
          <w:sz w:val="20"/>
          <w:szCs w:val="20"/>
        </w:rPr>
      </w:pPr>
      <w:r w:rsidRPr="005C23DD">
        <w:rPr>
          <w:b/>
          <w:i/>
          <w:sz w:val="20"/>
          <w:szCs w:val="20"/>
        </w:rPr>
        <w:t>K rozpočtu kapitálových příjmů 202</w:t>
      </w:r>
      <w:r>
        <w:rPr>
          <w:b/>
          <w:i/>
          <w:sz w:val="20"/>
          <w:szCs w:val="20"/>
        </w:rPr>
        <w:t>1</w:t>
      </w:r>
      <w:r w:rsidRPr="005C23DD">
        <w:rPr>
          <w:i/>
          <w:sz w:val="20"/>
          <w:szCs w:val="20"/>
        </w:rPr>
        <w:t xml:space="preserve">: Kapitálové příjmy jsou rozpočtovány v částce </w:t>
      </w:r>
      <w:r>
        <w:rPr>
          <w:i/>
          <w:sz w:val="20"/>
          <w:szCs w:val="20"/>
        </w:rPr>
        <w:t>5.949</w:t>
      </w:r>
      <w:r w:rsidRPr="005C23DD">
        <w:rPr>
          <w:i/>
          <w:sz w:val="20"/>
          <w:szCs w:val="20"/>
        </w:rPr>
        <w:t xml:space="preserve"> tis. Kč. Zde je nadále</w:t>
      </w:r>
      <w:r>
        <w:rPr>
          <w:i/>
          <w:sz w:val="20"/>
          <w:szCs w:val="20"/>
        </w:rPr>
        <w:t xml:space="preserve"> počítáno s privatizací bytů,</w:t>
      </w:r>
      <w:r w:rsidRPr="005C23D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prodejem pozemků a </w:t>
      </w:r>
      <w:r w:rsidRPr="005C23DD">
        <w:rPr>
          <w:i/>
          <w:sz w:val="20"/>
          <w:szCs w:val="20"/>
        </w:rPr>
        <w:t>se splátkami budoucích kupních cen bytů u akce „32bj. Roztocká“</w:t>
      </w:r>
      <w:r>
        <w:rPr>
          <w:i/>
          <w:sz w:val="20"/>
          <w:szCs w:val="20"/>
        </w:rPr>
        <w:t xml:space="preserve">, které budou v roce 2021 doplaceny. </w:t>
      </w:r>
    </w:p>
    <w:p w:rsidR="00DD097F" w:rsidRDefault="00DD097F" w:rsidP="00DD097F">
      <w:pPr>
        <w:ind w:firstLine="284"/>
        <w:jc w:val="both"/>
        <w:rPr>
          <w:i/>
          <w:sz w:val="20"/>
          <w:szCs w:val="20"/>
        </w:rPr>
      </w:pPr>
      <w:r w:rsidRPr="005C23DD">
        <w:rPr>
          <w:b/>
          <w:i/>
          <w:sz w:val="20"/>
          <w:szCs w:val="20"/>
        </w:rPr>
        <w:t>K rozpočtu dotací 202</w:t>
      </w:r>
      <w:r>
        <w:rPr>
          <w:b/>
          <w:i/>
          <w:sz w:val="20"/>
          <w:szCs w:val="20"/>
        </w:rPr>
        <w:t>1</w:t>
      </w:r>
      <w:r w:rsidRPr="005C23DD">
        <w:rPr>
          <w:b/>
          <w:i/>
          <w:sz w:val="20"/>
          <w:szCs w:val="20"/>
        </w:rPr>
        <w:t>:</w:t>
      </w:r>
      <w:r w:rsidRPr="005C23DD">
        <w:rPr>
          <w:i/>
          <w:sz w:val="20"/>
          <w:szCs w:val="20"/>
        </w:rPr>
        <w:t xml:space="preserve">  Běžné rozpočtované dotace jsou v částce </w:t>
      </w:r>
      <w:r>
        <w:rPr>
          <w:i/>
          <w:sz w:val="20"/>
          <w:szCs w:val="20"/>
        </w:rPr>
        <w:t>36.767</w:t>
      </w:r>
      <w:r w:rsidRPr="005C23DD">
        <w:rPr>
          <w:i/>
          <w:sz w:val="20"/>
          <w:szCs w:val="20"/>
        </w:rPr>
        <w:t xml:space="preserve"> tis. Kč (</w:t>
      </w:r>
      <w:r>
        <w:rPr>
          <w:i/>
          <w:sz w:val="20"/>
          <w:szCs w:val="20"/>
        </w:rPr>
        <w:t>103,7</w:t>
      </w:r>
      <w:r w:rsidRPr="005C23DD">
        <w:rPr>
          <w:i/>
          <w:sz w:val="20"/>
          <w:szCs w:val="20"/>
        </w:rPr>
        <w:t>%</w:t>
      </w:r>
      <w:r>
        <w:rPr>
          <w:i/>
          <w:sz w:val="20"/>
          <w:szCs w:val="20"/>
        </w:rPr>
        <w:t xml:space="preserve"> </w:t>
      </w:r>
      <w:r w:rsidRPr="005C23DD">
        <w:rPr>
          <w:i/>
          <w:sz w:val="20"/>
          <w:szCs w:val="20"/>
        </w:rPr>
        <w:t xml:space="preserve"> rozpočtu r. </w:t>
      </w:r>
      <w:r>
        <w:rPr>
          <w:i/>
          <w:sz w:val="20"/>
          <w:szCs w:val="20"/>
        </w:rPr>
        <w:t>2020</w:t>
      </w:r>
      <w:r w:rsidRPr="005C23DD">
        <w:rPr>
          <w:i/>
          <w:sz w:val="20"/>
          <w:szCs w:val="20"/>
        </w:rPr>
        <w:t xml:space="preserve">), z toho dotace na výkon státní správy činí </w:t>
      </w:r>
      <w:r>
        <w:rPr>
          <w:i/>
          <w:sz w:val="20"/>
          <w:szCs w:val="20"/>
        </w:rPr>
        <w:t>26.503</w:t>
      </w:r>
      <w:r w:rsidRPr="005C23DD">
        <w:rPr>
          <w:i/>
          <w:sz w:val="20"/>
          <w:szCs w:val="20"/>
        </w:rPr>
        <w:t xml:space="preserve"> tis. Kč včetně účelové dotace na sociálně právní ochranu dětí a sociální práci pro sociální odbor. Pokračují dotace pro pečovatelskou službu (3.</w:t>
      </w:r>
      <w:r>
        <w:rPr>
          <w:i/>
          <w:sz w:val="20"/>
          <w:szCs w:val="20"/>
        </w:rPr>
        <w:t>500</w:t>
      </w:r>
      <w:r w:rsidRPr="005C23DD">
        <w:rPr>
          <w:i/>
          <w:sz w:val="20"/>
          <w:szCs w:val="20"/>
        </w:rPr>
        <w:t xml:space="preserve"> tis. Kč) a dotace na památky od MKČR (800 tis. Kč). </w:t>
      </w:r>
      <w:r>
        <w:rPr>
          <w:i/>
          <w:sz w:val="20"/>
          <w:szCs w:val="20"/>
        </w:rPr>
        <w:t>Opět jsou zařazeny</w:t>
      </w:r>
      <w:r w:rsidRPr="005C23DD">
        <w:rPr>
          <w:i/>
          <w:sz w:val="20"/>
          <w:szCs w:val="20"/>
        </w:rPr>
        <w:t xml:space="preserve"> příjmy z veřejnoprávních smluv pro rozšíření pečovatelské služby do ORP  a pro financování sociálních služeb v ORP , kdy město Jilemnice </w:t>
      </w:r>
      <w:r>
        <w:rPr>
          <w:i/>
          <w:sz w:val="20"/>
          <w:szCs w:val="20"/>
        </w:rPr>
        <w:t>je</w:t>
      </w:r>
      <w:r w:rsidRPr="005C23DD">
        <w:rPr>
          <w:i/>
          <w:sz w:val="20"/>
          <w:szCs w:val="20"/>
        </w:rPr>
        <w:t xml:space="preserve"> vyhlašovatelem grantového programu. </w:t>
      </w:r>
      <w:r>
        <w:rPr>
          <w:i/>
          <w:sz w:val="20"/>
          <w:szCs w:val="20"/>
        </w:rPr>
        <w:t xml:space="preserve"> Dále je počítáno s dotacemi na projekty v oblasti odpadového hospodářství.  </w:t>
      </w:r>
    </w:p>
    <w:p w:rsidR="00DD097F" w:rsidRPr="005C23DD" w:rsidRDefault="00DD097F" w:rsidP="00DD097F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 roce 2021 bude proplacena dotace za projekt z IROP </w:t>
      </w:r>
      <w:r w:rsidRPr="00106451">
        <w:rPr>
          <w:i/>
          <w:sz w:val="20"/>
          <w:szCs w:val="20"/>
        </w:rPr>
        <w:t xml:space="preserve">„ZŠ J. </w:t>
      </w:r>
      <w:proofErr w:type="spellStart"/>
      <w:r w:rsidRPr="00106451">
        <w:rPr>
          <w:i/>
          <w:sz w:val="20"/>
          <w:szCs w:val="20"/>
        </w:rPr>
        <w:t>Harracha</w:t>
      </w:r>
      <w:proofErr w:type="spellEnd"/>
      <w:r w:rsidRPr="00106451">
        <w:rPr>
          <w:i/>
          <w:sz w:val="20"/>
          <w:szCs w:val="20"/>
        </w:rPr>
        <w:t xml:space="preserve"> - zvýšení kvality a dostupnosti infrastruktury základního v</w:t>
      </w:r>
      <w:r>
        <w:rPr>
          <w:i/>
          <w:sz w:val="20"/>
          <w:szCs w:val="20"/>
        </w:rPr>
        <w:t xml:space="preserve">zdělávání“ ve výši 13.905 tis. Kč (dokončeno v roce 2020), projekt „Sociální byty v čp. 70“ ve výši 3.713 tis. Kč a 656 tis. Kč za projekt „Obnova retenční nádrže za školou“, celkem tedy 15.539 tis. Kč. </w:t>
      </w:r>
    </w:p>
    <w:p w:rsidR="00DD097F" w:rsidRPr="006B5B2D" w:rsidRDefault="00DD097F" w:rsidP="00DD097F">
      <w:pPr>
        <w:jc w:val="both"/>
        <w:rPr>
          <w:i/>
          <w:sz w:val="20"/>
          <w:szCs w:val="20"/>
        </w:rPr>
      </w:pPr>
      <w:r w:rsidRPr="006B5B2D">
        <w:rPr>
          <w:b/>
          <w:i/>
          <w:sz w:val="20"/>
          <w:szCs w:val="20"/>
        </w:rPr>
        <w:t xml:space="preserve">K rozpočtu běžných výdajů 2021: </w:t>
      </w:r>
      <w:r w:rsidRPr="006B5B2D">
        <w:rPr>
          <w:i/>
          <w:sz w:val="20"/>
          <w:szCs w:val="20"/>
        </w:rPr>
        <w:t>Čerpání běžných výdajů je navrženo v souhrnné výši 154.729 tis. Kč (98% rozpočtu 2020). Kritériem k projednávání jednotlivých výdajů pro rok 2021 bylo doporučení finančního výboru města týkající mezd (98% rozpočtu 2020), energií i cen služeb. Součástí běžných výdajů budou i velké opravy a to opravy budov škol – střechy čp.</w:t>
      </w:r>
      <w:r>
        <w:rPr>
          <w:i/>
          <w:sz w:val="20"/>
          <w:szCs w:val="20"/>
        </w:rPr>
        <w:t xml:space="preserve"> </w:t>
      </w:r>
      <w:r w:rsidRPr="006B5B2D">
        <w:rPr>
          <w:i/>
          <w:sz w:val="20"/>
          <w:szCs w:val="20"/>
        </w:rPr>
        <w:t>101 a čp.</w:t>
      </w:r>
      <w:r>
        <w:rPr>
          <w:i/>
          <w:sz w:val="20"/>
          <w:szCs w:val="20"/>
        </w:rPr>
        <w:t xml:space="preserve"> </w:t>
      </w:r>
      <w:r w:rsidRPr="006B5B2D">
        <w:rPr>
          <w:i/>
          <w:sz w:val="20"/>
          <w:szCs w:val="20"/>
        </w:rPr>
        <w:t>103 a “ Sevastopolu“ (3.650</w:t>
      </w:r>
      <w:r>
        <w:rPr>
          <w:i/>
          <w:sz w:val="20"/>
          <w:szCs w:val="20"/>
        </w:rPr>
        <w:t xml:space="preserve"> tis. Kč),</w:t>
      </w:r>
      <w:r w:rsidRPr="006B5B2D">
        <w:rPr>
          <w:i/>
          <w:sz w:val="20"/>
          <w:szCs w:val="20"/>
        </w:rPr>
        <w:t xml:space="preserve"> oprava budovy MŠ Zámecká I. etapa (5.200 tis. Kč), opravy bytového fondu (6.559 tis. Kč). </w:t>
      </w:r>
      <w:r>
        <w:rPr>
          <w:i/>
          <w:sz w:val="20"/>
          <w:szCs w:val="20"/>
        </w:rPr>
        <w:t xml:space="preserve">Dále je </w:t>
      </w:r>
      <w:r w:rsidRPr="006B5B2D">
        <w:rPr>
          <w:i/>
          <w:sz w:val="20"/>
          <w:szCs w:val="20"/>
        </w:rPr>
        <w:t>počítáno s návratnou finanční výpomocí ve výši 994 tis. Kč pro Jilemnicko- svazek obcí na předfinancování projektu „</w:t>
      </w:r>
      <w:proofErr w:type="spellStart"/>
      <w:r w:rsidRPr="006B5B2D">
        <w:rPr>
          <w:i/>
          <w:sz w:val="20"/>
          <w:szCs w:val="20"/>
        </w:rPr>
        <w:t>Door</w:t>
      </w:r>
      <w:proofErr w:type="spellEnd"/>
      <w:r w:rsidRPr="006B5B2D">
        <w:rPr>
          <w:i/>
          <w:sz w:val="20"/>
          <w:szCs w:val="20"/>
        </w:rPr>
        <w:t xml:space="preserve"> to </w:t>
      </w:r>
      <w:proofErr w:type="spellStart"/>
      <w:r w:rsidRPr="006B5B2D">
        <w:rPr>
          <w:i/>
          <w:sz w:val="20"/>
          <w:szCs w:val="20"/>
        </w:rPr>
        <w:t>door</w:t>
      </w:r>
      <w:proofErr w:type="spellEnd"/>
      <w:r w:rsidRPr="006B5B2D">
        <w:rPr>
          <w:i/>
          <w:sz w:val="20"/>
          <w:szCs w:val="20"/>
        </w:rPr>
        <w:t>“. Vrácení této částky bude v roce 2022.</w:t>
      </w:r>
      <w:r>
        <w:rPr>
          <w:i/>
          <w:sz w:val="20"/>
          <w:szCs w:val="20"/>
        </w:rPr>
        <w:t xml:space="preserve"> </w:t>
      </w:r>
      <w:r w:rsidRPr="006B5B2D">
        <w:rPr>
          <w:i/>
          <w:sz w:val="20"/>
          <w:szCs w:val="20"/>
        </w:rPr>
        <w:t>Ve výdajích je počítáno s účelovou neinvestiční rozpočtovou rezervou ve výši 1.098 tis. Kč na případný odvod za</w:t>
      </w:r>
      <w:r>
        <w:rPr>
          <w:i/>
          <w:sz w:val="20"/>
          <w:szCs w:val="20"/>
        </w:rPr>
        <w:t xml:space="preserve"> projekt</w:t>
      </w:r>
      <w:r w:rsidRPr="006B5B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„Zateplení budov“</w:t>
      </w:r>
      <w:r w:rsidRPr="006B5B2D">
        <w:rPr>
          <w:i/>
          <w:sz w:val="20"/>
          <w:szCs w:val="20"/>
        </w:rPr>
        <w:t>, který byl realizován v roce 2010 a  ostatní rozpočtovou rezervou ve výši 247 tis. Kč.</w:t>
      </w:r>
    </w:p>
    <w:p w:rsidR="00DD097F" w:rsidRPr="00C00BC4" w:rsidRDefault="00DD097F" w:rsidP="00DD097F">
      <w:pPr>
        <w:ind w:firstLine="284"/>
        <w:jc w:val="both"/>
        <w:rPr>
          <w:i/>
          <w:sz w:val="20"/>
          <w:szCs w:val="20"/>
        </w:rPr>
      </w:pPr>
      <w:r w:rsidRPr="006B5B2D">
        <w:rPr>
          <w:b/>
          <w:i/>
          <w:sz w:val="20"/>
          <w:szCs w:val="20"/>
        </w:rPr>
        <w:t>K rozpočtu kapitálových výdajů 202</w:t>
      </w:r>
      <w:r>
        <w:rPr>
          <w:b/>
          <w:i/>
          <w:sz w:val="20"/>
          <w:szCs w:val="20"/>
        </w:rPr>
        <w:t>1</w:t>
      </w:r>
      <w:r w:rsidRPr="006B5B2D">
        <w:rPr>
          <w:b/>
          <w:i/>
          <w:sz w:val="20"/>
          <w:szCs w:val="20"/>
        </w:rPr>
        <w:t>:</w:t>
      </w:r>
      <w:r w:rsidRPr="006B5B2D">
        <w:rPr>
          <w:i/>
          <w:sz w:val="20"/>
          <w:szCs w:val="20"/>
        </w:rPr>
        <w:t xml:space="preserve">  Kapitálové výdaje jsou navrženy</w:t>
      </w:r>
      <w:r w:rsidRPr="0050198F">
        <w:rPr>
          <w:i/>
          <w:sz w:val="20"/>
          <w:szCs w:val="20"/>
        </w:rPr>
        <w:t xml:space="preserve"> v částce 47.217 tis. Kč.</w:t>
      </w:r>
      <w:r w:rsidRPr="0050198F">
        <w:rPr>
          <w:b/>
          <w:i/>
          <w:sz w:val="20"/>
          <w:szCs w:val="20"/>
        </w:rPr>
        <w:t xml:space="preserve"> </w:t>
      </w:r>
      <w:r w:rsidRPr="0050198F">
        <w:rPr>
          <w:i/>
          <w:sz w:val="20"/>
          <w:szCs w:val="20"/>
        </w:rPr>
        <w:t>Největší plánovanou akcí na rok 2021 bude ve spolupráci s VHS Turnov akce „</w:t>
      </w:r>
      <w:proofErr w:type="spellStart"/>
      <w:r w:rsidRPr="0050198F">
        <w:rPr>
          <w:i/>
          <w:sz w:val="20"/>
          <w:szCs w:val="20"/>
        </w:rPr>
        <w:t>Spořilov</w:t>
      </w:r>
      <w:proofErr w:type="spellEnd"/>
      <w:r w:rsidRPr="0050198F">
        <w:rPr>
          <w:i/>
          <w:sz w:val="20"/>
          <w:szCs w:val="20"/>
        </w:rPr>
        <w:t xml:space="preserve"> – komunikace, vodovod a kanalizace – II. </w:t>
      </w:r>
      <w:r w:rsidRPr="009D3D53">
        <w:rPr>
          <w:i/>
          <w:sz w:val="20"/>
          <w:szCs w:val="20"/>
        </w:rPr>
        <w:t xml:space="preserve">etapa“ v částce 13.634 tis. Kč, tentokrát v  ulicích Knoblochova, Budovatelská, Polní a Spořilovská. </w:t>
      </w:r>
      <w:r>
        <w:rPr>
          <w:i/>
          <w:sz w:val="20"/>
          <w:szCs w:val="20"/>
        </w:rPr>
        <w:t>Dále pokračuje akce</w:t>
      </w:r>
      <w:r w:rsidRPr="0050198F">
        <w:rPr>
          <w:i/>
          <w:sz w:val="20"/>
          <w:szCs w:val="20"/>
        </w:rPr>
        <w:t xml:space="preserve"> „Nouzov – inženýrské sítě a komunikace “, kde se počítá s částkou </w:t>
      </w:r>
      <w:r>
        <w:rPr>
          <w:i/>
          <w:sz w:val="20"/>
          <w:szCs w:val="20"/>
        </w:rPr>
        <w:t xml:space="preserve">10.400 tis. Kč. </w:t>
      </w:r>
      <w:r w:rsidRPr="0050198F">
        <w:rPr>
          <w:i/>
          <w:sz w:val="20"/>
          <w:szCs w:val="20"/>
        </w:rPr>
        <w:t xml:space="preserve"> I nadále se počítá s investičním rozvojem majetku, který spravuje Sportovní centrum Jilemnice, s.r.o. </w:t>
      </w:r>
      <w:r w:rsidRPr="00C00BC4">
        <w:rPr>
          <w:i/>
          <w:sz w:val="20"/>
          <w:szCs w:val="20"/>
        </w:rPr>
        <w:t>Příplatek mimo základní kapitál bude činit 9.050 tis. Kč. Novým projektem bude</w:t>
      </w:r>
      <w:r>
        <w:rPr>
          <w:i/>
          <w:sz w:val="20"/>
          <w:szCs w:val="20"/>
        </w:rPr>
        <w:t xml:space="preserve"> „Retenční nádrž nad školou“ a „Výstavba rybníku U Polesí“. V roce 2021 se zahájí financování nákupu investice pro překladiště odpadů, kde investorem bude Jilemnicko- svazek obcí. V rozpočtu je počítáno s investiční dotací svazku ve výši 1.830 tis. Kč, stejná částka připadne na rok 2022. Investiční rozpočtová rezerva je ve výši 1.000 tis. Kč.</w:t>
      </w:r>
    </w:p>
    <w:p w:rsidR="00DD097F" w:rsidRPr="0050198F" w:rsidRDefault="00DD097F" w:rsidP="00DD097F">
      <w:pPr>
        <w:ind w:firstLine="284"/>
        <w:jc w:val="both"/>
        <w:rPr>
          <w:i/>
          <w:sz w:val="20"/>
          <w:szCs w:val="20"/>
        </w:rPr>
      </w:pPr>
      <w:r w:rsidRPr="00C00BC4">
        <w:rPr>
          <w:i/>
          <w:sz w:val="20"/>
          <w:szCs w:val="20"/>
        </w:rPr>
        <w:t xml:space="preserve"> Nadále bude pokračovat příprava projektových dokumentací k akcím, které se budou realizovat v příštích letech (přístavba DC, území bytové výstavby Buben, chodník Roztocká, smuteční síň, komunikace Nouzov,</w:t>
      </w:r>
      <w:r>
        <w:rPr>
          <w:i/>
          <w:sz w:val="20"/>
          <w:szCs w:val="20"/>
        </w:rPr>
        <w:t xml:space="preserve"> cyklostezka „ Za prací“ a „Hraběnka“</w:t>
      </w:r>
      <w:r w:rsidRPr="00C00BC4">
        <w:rPr>
          <w:i/>
          <w:sz w:val="20"/>
          <w:szCs w:val="20"/>
        </w:rPr>
        <w:t>, apod.).</w:t>
      </w:r>
      <w:r w:rsidRPr="0050198F">
        <w:rPr>
          <w:i/>
          <w:sz w:val="20"/>
          <w:szCs w:val="20"/>
        </w:rPr>
        <w:t xml:space="preserve"> </w:t>
      </w:r>
    </w:p>
    <w:p w:rsidR="00DD097F" w:rsidRPr="00CA3567" w:rsidRDefault="00DD097F" w:rsidP="00DD097F">
      <w:pPr>
        <w:ind w:firstLine="284"/>
        <w:jc w:val="both"/>
        <w:rPr>
          <w:i/>
          <w:sz w:val="20"/>
          <w:szCs w:val="20"/>
        </w:rPr>
      </w:pPr>
      <w:r w:rsidRPr="0050198F">
        <w:rPr>
          <w:b/>
          <w:i/>
          <w:sz w:val="20"/>
          <w:szCs w:val="20"/>
        </w:rPr>
        <w:t xml:space="preserve">Financování: </w:t>
      </w:r>
      <w:r w:rsidRPr="0050198F">
        <w:rPr>
          <w:i/>
          <w:sz w:val="20"/>
          <w:szCs w:val="20"/>
        </w:rPr>
        <w:t>Financování tvoří přebytek hospodaření z</w:t>
      </w:r>
      <w:r w:rsidRPr="00CA3567">
        <w:rPr>
          <w:i/>
          <w:sz w:val="20"/>
          <w:szCs w:val="20"/>
        </w:rPr>
        <w:t xml:space="preserve"> roku 2020 ve výši 36.298 tis. Kč, snížený o splátku dlouhodobého závazku z projektu EPC ve výši 2.255 tis. Kč, splátkou úvěru ve výši 2.000 tis. Kč a opětovným naplněním Fondu rezerv a rozvoje ve výši 2.770 tis. Kč. </w:t>
      </w:r>
      <w:r>
        <w:rPr>
          <w:i/>
          <w:sz w:val="20"/>
          <w:szCs w:val="20"/>
        </w:rPr>
        <w:t>Celkem je financování navrženo v částce 29.273 tis. Kč.</w:t>
      </w:r>
    </w:p>
    <w:p w:rsidR="00DD097F" w:rsidRPr="0050198F" w:rsidRDefault="00DD097F" w:rsidP="00DD097F">
      <w:pPr>
        <w:jc w:val="both"/>
        <w:rPr>
          <w:i/>
          <w:sz w:val="20"/>
          <w:szCs w:val="20"/>
        </w:rPr>
      </w:pPr>
      <w:r w:rsidRPr="0050198F">
        <w:rPr>
          <w:b/>
          <w:i/>
          <w:sz w:val="20"/>
          <w:szCs w:val="20"/>
        </w:rPr>
        <w:t xml:space="preserve"> </w:t>
      </w:r>
      <w:r w:rsidRPr="0050198F">
        <w:rPr>
          <w:i/>
          <w:sz w:val="20"/>
          <w:szCs w:val="20"/>
        </w:rPr>
        <w:t>Závěr: Celkové příjmy na rok 2021 jsou navrhovány v částce 172.673 tis. Kč, celkové výdaje ve výši 201.</w:t>
      </w:r>
      <w:r>
        <w:rPr>
          <w:i/>
          <w:sz w:val="20"/>
          <w:szCs w:val="20"/>
        </w:rPr>
        <w:t>946</w:t>
      </w:r>
      <w:r w:rsidRPr="0050198F">
        <w:rPr>
          <w:i/>
          <w:sz w:val="20"/>
          <w:szCs w:val="20"/>
        </w:rPr>
        <w:t xml:space="preserve"> tis. Kč. Rozdíl mezi příjmy a výdaji ve výši 29.273 tis. Kč je vyrovnán financováním v téže výši. </w:t>
      </w:r>
    </w:p>
    <w:p w:rsidR="00686401" w:rsidRDefault="00DD097F" w:rsidP="00DD097F">
      <w:pPr>
        <w:pStyle w:val="Zkladntextodsazen"/>
        <w:ind w:firstLine="0"/>
        <w:jc w:val="both"/>
      </w:pPr>
      <w:r w:rsidRPr="0050198F">
        <w:t xml:space="preserve">Návrh rozpočtu na rok 2021 projednal a doporučil ke schválení finanční výbor dne 1. 2. 2021. Rada města návrh finančního výboru projednala a doporučila ke schválení dne 3. 2. 2021 pod č. </w:t>
      </w:r>
      <w:proofErr w:type="spellStart"/>
      <w:r w:rsidRPr="0050198F">
        <w:t>usn</w:t>
      </w:r>
      <w:proofErr w:type="spellEnd"/>
      <w:r w:rsidRPr="0050198F">
        <w:t>.: 8/21. Návrh rozpočtu byl řádně vyvěšen na úřední desce a internetových stránkách města.</w:t>
      </w:r>
    </w:p>
    <w:p w:rsidR="00DD097F" w:rsidRDefault="00DD097F" w:rsidP="00DD097F">
      <w:pPr>
        <w:pStyle w:val="Zkladntextodsazen"/>
        <w:ind w:firstLine="0"/>
        <w:jc w:val="both"/>
      </w:pPr>
    </w:p>
    <w:p w:rsidR="00DD097F" w:rsidRDefault="00DD097F" w:rsidP="00DD097F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861"/>
        <w:gridCol w:w="974"/>
        <w:gridCol w:w="819"/>
        <w:gridCol w:w="2733"/>
      </w:tblGrid>
      <w:tr w:rsidR="00686401" w:rsidTr="00964660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 w:rsidP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Město Jilemnice - základní údaje k hospodaření za rok 20</w:t>
            </w:r>
            <w:r w:rsidR="006030C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644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a k rozpočtu 202</w:t>
            </w:r>
            <w:r w:rsidR="006030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86401" w:rsidTr="006030C3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 w:rsidP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Vyhodnocení přebytku hospodaření za rok </w:t>
            </w:r>
            <w:r w:rsidR="006030C3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(tis. Kč.)</w:t>
            </w:r>
          </w:p>
        </w:tc>
      </w:tr>
      <w:tr w:rsidR="00686401" w:rsidTr="00964660">
        <w:trPr>
          <w:trHeight w:val="255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 w:rsidP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rozdíl mezi příjmy a výdaji za rok 20</w:t>
            </w:r>
            <w:r w:rsidR="006030C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030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6030C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 w:rsidP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dlouhodobé splátky v roce 20</w:t>
            </w:r>
            <w:r w:rsidR="006030C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 w:rsidP="006030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-2 </w:t>
            </w:r>
            <w:r w:rsidR="006030C3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030C3" w:rsidRDefault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přijetí úvěru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86401" w:rsidRDefault="00603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86401" w:rsidRDefault="00603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030C3" w:rsidRDefault="006030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0C3">
              <w:rPr>
                <w:rFonts w:ascii="Arial" w:hAnsi="Arial" w:cs="Arial"/>
                <w:b/>
                <w:sz w:val="20"/>
                <w:szCs w:val="20"/>
              </w:rPr>
              <w:t>4 000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030C3" w:rsidRDefault="006030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030C3" w:rsidRDefault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financování z fondů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86401" w:rsidRDefault="00603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86401" w:rsidRDefault="00603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030C3" w:rsidRDefault="006030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2 770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0C3" w:rsidRPr="00686401" w:rsidRDefault="00603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6030C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zapojený přebytek z roku 201</w:t>
            </w:r>
            <w:r w:rsidR="006030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31 807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964660">
        <w:trPr>
          <w:trHeight w:val="255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 w:rsidP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celkový přebytek hospodaření za rok 20</w:t>
            </w:r>
            <w:r w:rsidR="006030C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030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36 298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6401" w:rsidTr="006030C3">
        <w:trPr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6030C3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činnosti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vyšší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ušetřené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saldo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686401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daňové příjmy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14 365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14 365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prodej majetku, bytů, pozemků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4 815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107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4 922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BA455B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privatizace bytů,</w:t>
            </w:r>
            <w:r w:rsidR="006030C3">
              <w:rPr>
                <w:rFonts w:ascii="Arial" w:hAnsi="Arial" w:cs="Arial"/>
                <w:sz w:val="16"/>
                <w:szCs w:val="16"/>
              </w:rPr>
              <w:t xml:space="preserve"> pozemky Nouzov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daň z hazardu, odvod z hracích přístrojů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918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918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komunální odpad (poplatek, kompenzace)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-68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106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příjem z věcných břemen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areál služeb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136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238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374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lesnictví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244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činnost místní správy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5 454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5 511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vliv změna metodiky u platů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komunální služby, veř. </w:t>
            </w:r>
            <w:proofErr w:type="gramStart"/>
            <w:r w:rsidRPr="006030C3">
              <w:rPr>
                <w:rFonts w:ascii="Arial" w:hAnsi="Arial" w:cs="Arial"/>
                <w:sz w:val="20"/>
                <w:szCs w:val="20"/>
              </w:rPr>
              <w:t>osvětlení</w:t>
            </w:r>
            <w:proofErr w:type="gramEnd"/>
            <w:r w:rsidRPr="006030C3">
              <w:rPr>
                <w:rFonts w:ascii="Arial" w:hAnsi="Arial" w:cs="Arial"/>
                <w:sz w:val="20"/>
                <w:szCs w:val="20"/>
              </w:rPr>
              <w:t>, pohřebnictví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-19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190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171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vliv změna metodiky u platů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knihovna, SPOZ, propagace, zpravodaj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-33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497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464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vliv změna metodiky u platů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pečovatelská služba, soc. péče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-42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218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176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sankční platby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-126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-126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bytové hospodářství - nájem, služby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-150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418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268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právní a místní poplatky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-288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-288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příprava území k bytové výstavbě - Nouzov (Kozinec)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8 607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8 607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2021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komunikace 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3 245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3 245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projektové práce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1 555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1 555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částečný přesun do r. 2021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Sociální byty (čp. 70)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1 212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1 212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částečný přesun do r. 2021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školství - opravy, vybavení jídelna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1 175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1 175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částečně přesun do r. 2021</w:t>
            </w:r>
          </w:p>
        </w:tc>
      </w:tr>
      <w:tr w:rsidR="006030C3" w:rsidTr="00BA455B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krizové řízení, obecní policie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997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997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vliv změna metodiky u platů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Grantový program COVID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996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996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2021 - program COVID II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BA455B" w:rsidP="0060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MMN - příplatek mimo zákl. </w:t>
            </w:r>
            <w:proofErr w:type="gramStart"/>
            <w:r w:rsidR="006030C3" w:rsidRPr="006030C3">
              <w:rPr>
                <w:rFonts w:ascii="Arial" w:hAnsi="Arial" w:cs="Arial"/>
                <w:sz w:val="20"/>
                <w:szCs w:val="20"/>
              </w:rPr>
              <w:t>kapitál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912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912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2021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veřejná zeleň, projekty ŽP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877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877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vliv změna metodiky u platů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nájemné a služby ostatní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491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491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Financování soc. služeb v ORP Jilemnice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465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465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202</w:t>
            </w:r>
            <w:r w:rsidR="00BA455B">
              <w:rPr>
                <w:rFonts w:ascii="Arial" w:hAnsi="Arial" w:cs="Arial"/>
                <w:sz w:val="16"/>
                <w:szCs w:val="16"/>
              </w:rPr>
              <w:t xml:space="preserve">1, pokračování GP 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finanční operace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450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450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Místní zastupitelské orgány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440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440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vliv změna metodiky u platů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projekty  OPLZZ správy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291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291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2021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územní plán, územní rozvoj,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030C3">
              <w:rPr>
                <w:rFonts w:ascii="Arial" w:hAnsi="Arial" w:cs="Arial"/>
                <w:sz w:val="20"/>
                <w:szCs w:val="20"/>
              </w:rPr>
              <w:t xml:space="preserve"> systém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169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169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nečerpaná rozpočtová rezerva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2 242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2 242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financování (nečerpání úvěru, fondy)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-15 230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color w:val="FF0000"/>
                <w:sz w:val="20"/>
                <w:szCs w:val="20"/>
              </w:rPr>
              <w:t xml:space="preserve">-15 230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Pr="006030C3" w:rsidRDefault="006030C3" w:rsidP="006030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0C3">
              <w:rPr>
                <w:rFonts w:ascii="Arial" w:hAnsi="Arial" w:cs="Arial"/>
                <w:sz w:val="20"/>
                <w:szCs w:val="20"/>
              </w:rPr>
              <w:t xml:space="preserve">125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0C3" w:rsidTr="006030C3">
        <w:trPr>
          <w:trHeight w:val="27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4 871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31 427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0C3" w:rsidRDefault="006030C3" w:rsidP="006030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36 298 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C3" w:rsidRPr="00686401" w:rsidRDefault="006030C3" w:rsidP="006030C3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316C93" w:rsidRDefault="00316C93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4114"/>
        <w:gridCol w:w="196"/>
        <w:gridCol w:w="430"/>
        <w:gridCol w:w="639"/>
        <w:gridCol w:w="778"/>
        <w:gridCol w:w="3189"/>
      </w:tblGrid>
      <w:tr w:rsidR="00686401" w:rsidTr="00F63F50">
        <w:trPr>
          <w:trHeight w:val="330"/>
        </w:trPr>
        <w:tc>
          <w:tcPr>
            <w:tcW w:w="6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1E09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V rozpočtu 2021</w:t>
            </w:r>
            <w:r w:rsidR="00686401" w:rsidRPr="00686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 zahrnuty tyto investice: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F63F50">
        <w:trPr>
          <w:trHeight w:val="270"/>
        </w:trPr>
        <w:tc>
          <w:tcPr>
            <w:tcW w:w="4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Investice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016356" w:rsidRDefault="00F63F50" w:rsidP="000163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částka (tis. Kč</w:t>
            </w:r>
            <w:r w:rsidR="00686401" w:rsidRPr="0001635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Spořilov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- komunikace a kanalizace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13 634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 toho 11834 dotace VHS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Nouzov - inženýrské sítě, komunikace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10 400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spolupráce s VHS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>SC,s.</w:t>
            </w:r>
            <w:proofErr w:type="gramEnd"/>
            <w:r>
              <w:rPr>
                <w:rFonts w:ascii="Arial CE" w:hAnsi="Arial CE" w:cs="Arial CE"/>
                <w:sz w:val="20"/>
                <w:szCs w:val="20"/>
              </w:rPr>
              <w:t>r.o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-obnova a investice sportovních zařízení - příplatek mimo ZK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9 050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Retenční nádrž nad školou a rybník U Polesí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3 822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Překladiště odpadů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1 830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investiční dotace Jilemnicku- svazku obcí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Přechod ulice Krkonošská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1 320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30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Cyklostezka "Za prací" a "Hraběnka" - projekce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1 100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Smuteční síň - studie, projekt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Sociální byty (čp. 70)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927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dokončení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MMN,a.s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. - příplatek mimo zákl. </w:t>
            </w:r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>kapitál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Příprava území k bytové výstavbě - Buben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Projektová dokumentace nad 60000,- Kč, LHP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ZŠ při dětském centru - přístavba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Projekt Modernizace zařízení pro sběr kom. </w:t>
            </w:r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>odpadů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63F50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3F50" w:rsidRDefault="00F63F5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Projekt "Systém odděleného sběru -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Door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door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50" w:rsidRDefault="00F63F5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3F50" w:rsidRDefault="00F63F50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investiční dotace Jilemnicku- svazku obcí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Školní stravování - modernizace zařízení (PD)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F63F50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Ostatní (</w:t>
            </w:r>
            <w:r w:rsidR="008112DD">
              <w:rPr>
                <w:rFonts w:ascii="Arial CE" w:hAnsi="Arial CE" w:cs="Arial CE"/>
                <w:sz w:val="20"/>
                <w:szCs w:val="20"/>
              </w:rPr>
              <w:t>přístřešek na kontejner, správa)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Chodník ul. Roztocká - projekce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5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Výkup pozemků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112DD" w:rsidTr="00F63F50">
        <w:trPr>
          <w:gridBefore w:val="1"/>
          <w:wBefore w:w="25" w:type="dxa"/>
          <w:trHeight w:val="27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Rozpočtová rezerva investiční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DD" w:rsidRDefault="008112D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1 000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12DD" w:rsidRDefault="008112DD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686401" w:rsidTr="00F63F50">
        <w:trPr>
          <w:trHeight w:val="270"/>
        </w:trPr>
        <w:tc>
          <w:tcPr>
            <w:tcW w:w="4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8112DD" w:rsidP="00F63F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  <w:r w:rsidR="00F63F50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F63F50">
        <w:trPr>
          <w:trHeight w:val="225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1" w:rsidTr="00F63F50">
        <w:trPr>
          <w:trHeight w:val="315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3) Údaje o bankovních úvěrech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4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86401" w:rsidRPr="00686401" w:rsidRDefault="00686401">
            <w:pPr>
              <w:rPr>
                <w:rFonts w:ascii="Arial" w:hAnsi="Arial" w:cs="Arial"/>
                <w:sz w:val="20"/>
                <w:szCs w:val="20"/>
              </w:rPr>
            </w:pPr>
            <w:r w:rsidRPr="006864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6401" w:rsidTr="008112DD">
        <w:trPr>
          <w:trHeight w:val="52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1" w:rsidRPr="00686401" w:rsidRDefault="00BA4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Město Jilemnice má ke dni 31.12.2020  střednědobý úvěr na financování projektu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ZŠ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Harracha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výši 4.000 tis. Kč</w:t>
            </w:r>
          </w:p>
        </w:tc>
      </w:tr>
      <w:tr w:rsidR="00BA455B" w:rsidTr="008112DD">
        <w:trPr>
          <w:trHeight w:val="255"/>
        </w:trPr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5B" w:rsidRPr="00F63F50" w:rsidRDefault="00BA455B" w:rsidP="00BA455B">
            <w:pPr>
              <w:rPr>
                <w:rFonts w:ascii="Arial" w:hAnsi="Arial" w:cs="Arial"/>
                <w:sz w:val="18"/>
                <w:szCs w:val="18"/>
              </w:rPr>
            </w:pPr>
            <w:r w:rsidRPr="00F63F50">
              <w:rPr>
                <w:rFonts w:ascii="Arial" w:hAnsi="Arial" w:cs="Arial"/>
                <w:sz w:val="18"/>
                <w:szCs w:val="18"/>
              </w:rPr>
              <w:t xml:space="preserve">Zůstatek dodavatelského závazku z projektu EPC k </w:t>
            </w:r>
            <w:proofErr w:type="gramStart"/>
            <w:r w:rsidRPr="00F63F50">
              <w:rPr>
                <w:rFonts w:ascii="Arial" w:hAnsi="Arial" w:cs="Arial"/>
                <w:sz w:val="18"/>
                <w:szCs w:val="18"/>
              </w:rPr>
              <w:t>31.12.2020</w:t>
            </w:r>
            <w:proofErr w:type="gramEnd"/>
            <w:r w:rsidRPr="00F63F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55B" w:rsidRPr="00F63F50" w:rsidRDefault="00BA455B" w:rsidP="00BA455B">
            <w:pPr>
              <w:rPr>
                <w:rFonts w:ascii="Arial" w:hAnsi="Arial" w:cs="Arial"/>
                <w:sz w:val="20"/>
                <w:szCs w:val="20"/>
              </w:rPr>
            </w:pPr>
            <w:r w:rsidRPr="00F63F50">
              <w:rPr>
                <w:rFonts w:ascii="Arial" w:hAnsi="Arial" w:cs="Arial"/>
                <w:sz w:val="20"/>
                <w:szCs w:val="20"/>
              </w:rPr>
              <w:t>14.081 tis. Kč</w:t>
            </w:r>
          </w:p>
        </w:tc>
      </w:tr>
    </w:tbl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24DD6" w:rsidTr="00D24DD6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druh daně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2009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R 2021</w:t>
            </w:r>
          </w:p>
        </w:tc>
      </w:tr>
      <w:tr w:rsidR="00D24DD6" w:rsidTr="00D24DD6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ze závislé činnosti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9 123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10 339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9 525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9 012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9 577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9 681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12 987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13 577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13 857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15 512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17 400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19 851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21 987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20 816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13 500</w:t>
            </w:r>
          </w:p>
        </w:tc>
      </w:tr>
      <w:tr w:rsidR="00D24DD6" w:rsidTr="00D24DD6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z přiznání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6 185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4 528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3 660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5 451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1 996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1 299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1 005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1 364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</w:t>
            </w:r>
          </w:p>
        </w:tc>
      </w:tr>
      <w:tr w:rsidR="00D24DD6" w:rsidTr="00D24DD6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 právnických osob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9 696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10 931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12 842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8 904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8 732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8 139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8 960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11 770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13 666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15 443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15 696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15 358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17 306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14 081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13 000</w:t>
            </w:r>
          </w:p>
        </w:tc>
      </w:tr>
      <w:tr w:rsidR="00D24DD6" w:rsidTr="00D24DD6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DPH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14 935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15 652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16 558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18 362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17 902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18 833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19 325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18 079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25 573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27 258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27 046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28 298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31 836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37 790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38 969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38 607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40 500</w:t>
            </w:r>
          </w:p>
        </w:tc>
      </w:tr>
      <w:tr w:rsidR="00D24DD6" w:rsidTr="00D24DD6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srážková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1 224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1 474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1 673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1 858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1 881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1 900</w:t>
            </w:r>
          </w:p>
        </w:tc>
      </w:tr>
      <w:tr w:rsidR="00D24DD6" w:rsidTr="00D24DD6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 nemovitosti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2 201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2 307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2 299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2 288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3 710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3 691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4 234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3 970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3 957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4 083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4 165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4 242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4 300</w:t>
            </w:r>
          </w:p>
        </w:tc>
      </w:tr>
      <w:tr w:rsidR="00D24DD6" w:rsidTr="00D24DD6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Celkem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42 398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41 832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44 397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49 218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40 252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42 974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42 809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43 331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56 592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61 084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61 439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66 132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70 933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79 178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84 835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79 935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4DD6" w:rsidRDefault="00D24DD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73 400</w:t>
            </w:r>
          </w:p>
        </w:tc>
      </w:tr>
    </w:tbl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  <w:r>
        <w:rPr>
          <w:noProof/>
        </w:rPr>
        <w:drawing>
          <wp:inline distT="0" distB="0" distL="0" distR="0" wp14:anchorId="3E940ABF" wp14:editId="7C197753">
            <wp:extent cx="6055743" cy="4777105"/>
            <wp:effectExtent l="0" t="0" r="40640" b="4254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D24DD6" w:rsidRDefault="00D24DD6" w:rsidP="00A730F2">
      <w:pPr>
        <w:pStyle w:val="Zkladntextodsazen"/>
        <w:ind w:firstLine="0"/>
        <w:jc w:val="both"/>
        <w:rPr>
          <w:b/>
        </w:rPr>
      </w:pPr>
    </w:p>
    <w:p w:rsidR="00686401" w:rsidRDefault="00686401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2034CFF3" wp14:editId="251A5720">
            <wp:extent cx="5795645" cy="4101253"/>
            <wp:effectExtent l="0" t="0" r="33655" b="3302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  <w:r>
        <w:rPr>
          <w:noProof/>
        </w:rPr>
        <w:drawing>
          <wp:inline distT="0" distB="0" distL="0" distR="0" wp14:anchorId="1405AA41" wp14:editId="49608A4A">
            <wp:extent cx="5795645" cy="4368800"/>
            <wp:effectExtent l="0" t="0" r="33655" b="3175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45A9A76" wp14:editId="786D6824">
            <wp:extent cx="5840083" cy="4210050"/>
            <wp:effectExtent l="0" t="0" r="46990" b="381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9E3D70" w:rsidP="00A730F2">
      <w:pPr>
        <w:pStyle w:val="Zkladntextodsazen"/>
        <w:ind w:firstLine="0"/>
        <w:jc w:val="both"/>
        <w:rPr>
          <w:b/>
        </w:rPr>
      </w:pPr>
      <w:r>
        <w:rPr>
          <w:noProof/>
        </w:rPr>
        <w:drawing>
          <wp:inline distT="0" distB="0" distL="0" distR="0" wp14:anchorId="30B42090" wp14:editId="218D0BC7">
            <wp:extent cx="5974080" cy="4114800"/>
            <wp:effectExtent l="0" t="0" r="45720" b="3810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9E3D70" w:rsidP="00A730F2">
      <w:pPr>
        <w:pStyle w:val="Zkladntextodsazen"/>
        <w:ind w:firstLine="0"/>
        <w:jc w:val="both"/>
        <w:rPr>
          <w:b/>
        </w:rPr>
      </w:pPr>
      <w:r>
        <w:rPr>
          <w:noProof/>
        </w:rPr>
        <w:drawing>
          <wp:inline distT="0" distB="0" distL="0" distR="0" wp14:anchorId="44674A3D" wp14:editId="0DEB8303">
            <wp:extent cx="6073140" cy="2865120"/>
            <wp:effectExtent l="0" t="0" r="41910" b="3048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9E3D70" w:rsidP="00A730F2">
      <w:pPr>
        <w:pStyle w:val="Zkladntextodsazen"/>
        <w:ind w:firstLine="0"/>
        <w:jc w:val="both"/>
        <w:rPr>
          <w:b/>
        </w:rPr>
      </w:pPr>
      <w:r>
        <w:rPr>
          <w:noProof/>
        </w:rPr>
        <w:drawing>
          <wp:inline distT="0" distB="0" distL="0" distR="0" wp14:anchorId="120A89EA" wp14:editId="1C9F38A0">
            <wp:extent cx="6149340" cy="2625090"/>
            <wp:effectExtent l="0" t="0" r="41910" b="4191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DE3A13" w:rsidRDefault="00DE3A13" w:rsidP="00A730F2">
      <w:pPr>
        <w:pStyle w:val="Zkladntextodsazen"/>
        <w:ind w:firstLine="0"/>
        <w:jc w:val="both"/>
        <w:rPr>
          <w:b/>
        </w:rPr>
      </w:pPr>
    </w:p>
    <w:p w:rsidR="00686401" w:rsidRDefault="009E3D70" w:rsidP="00A730F2">
      <w:pPr>
        <w:pStyle w:val="Zkladntextodsazen"/>
        <w:ind w:firstLine="0"/>
        <w:jc w:val="both"/>
        <w:rPr>
          <w:b/>
        </w:rPr>
      </w:pPr>
      <w:r>
        <w:rPr>
          <w:noProof/>
        </w:rPr>
        <w:drawing>
          <wp:inline distT="0" distB="0" distL="0" distR="0" wp14:anchorId="06B57D1A" wp14:editId="243201BA">
            <wp:extent cx="6172200" cy="2659380"/>
            <wp:effectExtent l="0" t="0" r="38100" b="4572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686401" w:rsidSect="00964660">
      <w:headerReference w:type="default" r:id="rId16"/>
      <w:footerReference w:type="default" r:id="rId17"/>
      <w:pgSz w:w="11906" w:h="16838"/>
      <w:pgMar w:top="1134" w:right="1418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4D" w:rsidRDefault="00E9314D" w:rsidP="00BA7E1F">
      <w:r>
        <w:separator/>
      </w:r>
    </w:p>
  </w:endnote>
  <w:endnote w:type="continuationSeparator" w:id="0">
    <w:p w:rsidR="00E9314D" w:rsidRDefault="00E9314D" w:rsidP="00BA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13" w:rsidRDefault="00DE3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4D" w:rsidRDefault="00E9314D" w:rsidP="00BA7E1F">
      <w:r>
        <w:separator/>
      </w:r>
    </w:p>
  </w:footnote>
  <w:footnote w:type="continuationSeparator" w:id="0">
    <w:p w:rsidR="00E9314D" w:rsidRDefault="00E9314D" w:rsidP="00BA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993433"/>
      <w:docPartObj>
        <w:docPartGallery w:val="Page Numbers (Top of Page)"/>
        <w:docPartUnique/>
      </w:docPartObj>
    </w:sdtPr>
    <w:sdtEndPr/>
    <w:sdtContent>
      <w:p w:rsidR="00F63F50" w:rsidRDefault="00F63F5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7F">
          <w:rPr>
            <w:noProof/>
          </w:rPr>
          <w:t>7</w:t>
        </w:r>
        <w:r>
          <w:fldChar w:fldCharType="end"/>
        </w:r>
      </w:p>
    </w:sdtContent>
  </w:sdt>
  <w:p w:rsidR="00F63F50" w:rsidRDefault="00F63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FEB"/>
    <w:multiLevelType w:val="hybridMultilevel"/>
    <w:tmpl w:val="7DEA1C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48A"/>
    <w:multiLevelType w:val="multilevel"/>
    <w:tmpl w:val="62BAF1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C973A89"/>
    <w:multiLevelType w:val="hybridMultilevel"/>
    <w:tmpl w:val="337C8348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491E3DE0"/>
    <w:multiLevelType w:val="hybridMultilevel"/>
    <w:tmpl w:val="4F38664E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3216985"/>
    <w:multiLevelType w:val="multilevel"/>
    <w:tmpl w:val="EFC02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4A4B9D"/>
    <w:multiLevelType w:val="hybridMultilevel"/>
    <w:tmpl w:val="13F88E4C"/>
    <w:lvl w:ilvl="0" w:tplc="AE0C8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A554A"/>
    <w:multiLevelType w:val="hybridMultilevel"/>
    <w:tmpl w:val="0002BB2E"/>
    <w:lvl w:ilvl="0" w:tplc="040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6EFC022F"/>
    <w:multiLevelType w:val="hybridMultilevel"/>
    <w:tmpl w:val="0356729E"/>
    <w:lvl w:ilvl="0" w:tplc="040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 w15:restartNumberingAfterBreak="0">
    <w:nsid w:val="7B46098F"/>
    <w:multiLevelType w:val="hybridMultilevel"/>
    <w:tmpl w:val="904C2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C"/>
    <w:rsid w:val="00003193"/>
    <w:rsid w:val="00007DBB"/>
    <w:rsid w:val="00016356"/>
    <w:rsid w:val="00043579"/>
    <w:rsid w:val="000513BA"/>
    <w:rsid w:val="00060ABB"/>
    <w:rsid w:val="000664FF"/>
    <w:rsid w:val="000756FE"/>
    <w:rsid w:val="000A1373"/>
    <w:rsid w:val="000A2285"/>
    <w:rsid w:val="000A541D"/>
    <w:rsid w:val="000D4D7E"/>
    <w:rsid w:val="000D7CB8"/>
    <w:rsid w:val="000E7B9B"/>
    <w:rsid w:val="0010213D"/>
    <w:rsid w:val="00103652"/>
    <w:rsid w:val="00105FD2"/>
    <w:rsid w:val="00106133"/>
    <w:rsid w:val="00125184"/>
    <w:rsid w:val="00135244"/>
    <w:rsid w:val="00153120"/>
    <w:rsid w:val="00167C1A"/>
    <w:rsid w:val="00177461"/>
    <w:rsid w:val="00186FD4"/>
    <w:rsid w:val="001B601E"/>
    <w:rsid w:val="001C3042"/>
    <w:rsid w:val="001E0902"/>
    <w:rsid w:val="001E558A"/>
    <w:rsid w:val="001F7B16"/>
    <w:rsid w:val="002234E9"/>
    <w:rsid w:val="00234737"/>
    <w:rsid w:val="00236210"/>
    <w:rsid w:val="002528EC"/>
    <w:rsid w:val="002644EA"/>
    <w:rsid w:val="00265D02"/>
    <w:rsid w:val="002873EC"/>
    <w:rsid w:val="00291BE6"/>
    <w:rsid w:val="0029339F"/>
    <w:rsid w:val="00295613"/>
    <w:rsid w:val="00296170"/>
    <w:rsid w:val="002A08F8"/>
    <w:rsid w:val="002A71DC"/>
    <w:rsid w:val="002B142E"/>
    <w:rsid w:val="002B1FA0"/>
    <w:rsid w:val="002B31BA"/>
    <w:rsid w:val="002B3CE7"/>
    <w:rsid w:val="002C6E05"/>
    <w:rsid w:val="00316C93"/>
    <w:rsid w:val="00321EC3"/>
    <w:rsid w:val="00331CCF"/>
    <w:rsid w:val="00333C77"/>
    <w:rsid w:val="0034394B"/>
    <w:rsid w:val="00362954"/>
    <w:rsid w:val="003710A7"/>
    <w:rsid w:val="0037729A"/>
    <w:rsid w:val="003772E2"/>
    <w:rsid w:val="00381F45"/>
    <w:rsid w:val="00390AAB"/>
    <w:rsid w:val="003A0920"/>
    <w:rsid w:val="003A1C5C"/>
    <w:rsid w:val="003C25A8"/>
    <w:rsid w:val="003C496A"/>
    <w:rsid w:val="003D1AA0"/>
    <w:rsid w:val="003F36CB"/>
    <w:rsid w:val="00415BF7"/>
    <w:rsid w:val="004300CD"/>
    <w:rsid w:val="00436577"/>
    <w:rsid w:val="00443B2B"/>
    <w:rsid w:val="00462F1D"/>
    <w:rsid w:val="00465D9D"/>
    <w:rsid w:val="00466E62"/>
    <w:rsid w:val="00467C8F"/>
    <w:rsid w:val="0047301B"/>
    <w:rsid w:val="004A34F8"/>
    <w:rsid w:val="004A70D5"/>
    <w:rsid w:val="004B3964"/>
    <w:rsid w:val="004B7C6D"/>
    <w:rsid w:val="004C54BE"/>
    <w:rsid w:val="004F25F0"/>
    <w:rsid w:val="004F45AE"/>
    <w:rsid w:val="00511B59"/>
    <w:rsid w:val="00534C80"/>
    <w:rsid w:val="005364E3"/>
    <w:rsid w:val="00544832"/>
    <w:rsid w:val="00554742"/>
    <w:rsid w:val="00557BF1"/>
    <w:rsid w:val="00563DF1"/>
    <w:rsid w:val="00566B39"/>
    <w:rsid w:val="00582039"/>
    <w:rsid w:val="005D5BCE"/>
    <w:rsid w:val="005F0073"/>
    <w:rsid w:val="005F72F3"/>
    <w:rsid w:val="00602AF6"/>
    <w:rsid w:val="006030C3"/>
    <w:rsid w:val="0062182D"/>
    <w:rsid w:val="00642BD5"/>
    <w:rsid w:val="00644B9B"/>
    <w:rsid w:val="00657B4B"/>
    <w:rsid w:val="00666C24"/>
    <w:rsid w:val="006706D6"/>
    <w:rsid w:val="00672A2B"/>
    <w:rsid w:val="00686401"/>
    <w:rsid w:val="006A0D42"/>
    <w:rsid w:val="006C00D9"/>
    <w:rsid w:val="006C581F"/>
    <w:rsid w:val="006D233A"/>
    <w:rsid w:val="006E6E9A"/>
    <w:rsid w:val="00701D70"/>
    <w:rsid w:val="00703974"/>
    <w:rsid w:val="00703CE1"/>
    <w:rsid w:val="00703EB1"/>
    <w:rsid w:val="00720D29"/>
    <w:rsid w:val="00736952"/>
    <w:rsid w:val="007526E8"/>
    <w:rsid w:val="00760166"/>
    <w:rsid w:val="00761361"/>
    <w:rsid w:val="007653F2"/>
    <w:rsid w:val="007737FE"/>
    <w:rsid w:val="00781E5C"/>
    <w:rsid w:val="007B0D31"/>
    <w:rsid w:val="007B2432"/>
    <w:rsid w:val="007D1310"/>
    <w:rsid w:val="007D3DBE"/>
    <w:rsid w:val="007E12C5"/>
    <w:rsid w:val="007E72B8"/>
    <w:rsid w:val="008070E6"/>
    <w:rsid w:val="008112DD"/>
    <w:rsid w:val="008143D9"/>
    <w:rsid w:val="0083503A"/>
    <w:rsid w:val="008455F3"/>
    <w:rsid w:val="0084681A"/>
    <w:rsid w:val="0086086C"/>
    <w:rsid w:val="00872F32"/>
    <w:rsid w:val="00875CAF"/>
    <w:rsid w:val="00894E8F"/>
    <w:rsid w:val="008952BD"/>
    <w:rsid w:val="00897AAF"/>
    <w:rsid w:val="008A0983"/>
    <w:rsid w:val="008A2FB1"/>
    <w:rsid w:val="008C0483"/>
    <w:rsid w:val="008C685E"/>
    <w:rsid w:val="008C6BB8"/>
    <w:rsid w:val="008D5AF5"/>
    <w:rsid w:val="008D64DD"/>
    <w:rsid w:val="008E478F"/>
    <w:rsid w:val="008F42A6"/>
    <w:rsid w:val="00900F8B"/>
    <w:rsid w:val="00902446"/>
    <w:rsid w:val="00906F32"/>
    <w:rsid w:val="009243D5"/>
    <w:rsid w:val="00924AB4"/>
    <w:rsid w:val="0092528B"/>
    <w:rsid w:val="009267A5"/>
    <w:rsid w:val="00932B11"/>
    <w:rsid w:val="00933059"/>
    <w:rsid w:val="009635CF"/>
    <w:rsid w:val="00964660"/>
    <w:rsid w:val="00967104"/>
    <w:rsid w:val="00977501"/>
    <w:rsid w:val="00994728"/>
    <w:rsid w:val="009A2DA9"/>
    <w:rsid w:val="009A2FBC"/>
    <w:rsid w:val="009C1881"/>
    <w:rsid w:val="009C20FC"/>
    <w:rsid w:val="009D43B8"/>
    <w:rsid w:val="009E3D70"/>
    <w:rsid w:val="009E6305"/>
    <w:rsid w:val="009E7E72"/>
    <w:rsid w:val="00A07716"/>
    <w:rsid w:val="00A16B0B"/>
    <w:rsid w:val="00A32B97"/>
    <w:rsid w:val="00A418E6"/>
    <w:rsid w:val="00A730F2"/>
    <w:rsid w:val="00A73170"/>
    <w:rsid w:val="00A73B55"/>
    <w:rsid w:val="00A73BCE"/>
    <w:rsid w:val="00A74803"/>
    <w:rsid w:val="00A74B7D"/>
    <w:rsid w:val="00A91890"/>
    <w:rsid w:val="00AA1612"/>
    <w:rsid w:val="00AA30B7"/>
    <w:rsid w:val="00AA7D19"/>
    <w:rsid w:val="00AB5BBF"/>
    <w:rsid w:val="00AC10F2"/>
    <w:rsid w:val="00AC740D"/>
    <w:rsid w:val="00AE42A9"/>
    <w:rsid w:val="00AE66C4"/>
    <w:rsid w:val="00AF5592"/>
    <w:rsid w:val="00AF6E1B"/>
    <w:rsid w:val="00B06DE7"/>
    <w:rsid w:val="00B16FE4"/>
    <w:rsid w:val="00B31E9A"/>
    <w:rsid w:val="00B375CF"/>
    <w:rsid w:val="00B612A2"/>
    <w:rsid w:val="00B76AC7"/>
    <w:rsid w:val="00B80EFD"/>
    <w:rsid w:val="00B8584A"/>
    <w:rsid w:val="00BA455B"/>
    <w:rsid w:val="00BA7E1F"/>
    <w:rsid w:val="00BD1828"/>
    <w:rsid w:val="00BD4E83"/>
    <w:rsid w:val="00BD7F45"/>
    <w:rsid w:val="00BE461B"/>
    <w:rsid w:val="00BE499D"/>
    <w:rsid w:val="00C05AF8"/>
    <w:rsid w:val="00C10265"/>
    <w:rsid w:val="00C16CF7"/>
    <w:rsid w:val="00C22E61"/>
    <w:rsid w:val="00C32179"/>
    <w:rsid w:val="00C43EA8"/>
    <w:rsid w:val="00C5275C"/>
    <w:rsid w:val="00C5398A"/>
    <w:rsid w:val="00C629AC"/>
    <w:rsid w:val="00C62AB5"/>
    <w:rsid w:val="00C744EC"/>
    <w:rsid w:val="00C956DF"/>
    <w:rsid w:val="00CA3D22"/>
    <w:rsid w:val="00CA41DF"/>
    <w:rsid w:val="00CB6F6F"/>
    <w:rsid w:val="00CE53CE"/>
    <w:rsid w:val="00CF5B33"/>
    <w:rsid w:val="00CF6143"/>
    <w:rsid w:val="00D24DD6"/>
    <w:rsid w:val="00D254A7"/>
    <w:rsid w:val="00D275EE"/>
    <w:rsid w:val="00D41DA0"/>
    <w:rsid w:val="00D62ED9"/>
    <w:rsid w:val="00D66E68"/>
    <w:rsid w:val="00D757A5"/>
    <w:rsid w:val="00D800D8"/>
    <w:rsid w:val="00D957EF"/>
    <w:rsid w:val="00D97AA9"/>
    <w:rsid w:val="00DA3E28"/>
    <w:rsid w:val="00DB4C01"/>
    <w:rsid w:val="00DB7FC4"/>
    <w:rsid w:val="00DD097F"/>
    <w:rsid w:val="00DE3A13"/>
    <w:rsid w:val="00DF0E61"/>
    <w:rsid w:val="00DF27F7"/>
    <w:rsid w:val="00DF346C"/>
    <w:rsid w:val="00DF6596"/>
    <w:rsid w:val="00E01F33"/>
    <w:rsid w:val="00E03547"/>
    <w:rsid w:val="00E148CC"/>
    <w:rsid w:val="00E34281"/>
    <w:rsid w:val="00E379EE"/>
    <w:rsid w:val="00E46238"/>
    <w:rsid w:val="00E50E57"/>
    <w:rsid w:val="00E526E7"/>
    <w:rsid w:val="00E72895"/>
    <w:rsid w:val="00E8619B"/>
    <w:rsid w:val="00E9314D"/>
    <w:rsid w:val="00ED41BA"/>
    <w:rsid w:val="00EE42AB"/>
    <w:rsid w:val="00EE625D"/>
    <w:rsid w:val="00EF1A76"/>
    <w:rsid w:val="00F021E6"/>
    <w:rsid w:val="00F052C0"/>
    <w:rsid w:val="00F20E97"/>
    <w:rsid w:val="00F26F5A"/>
    <w:rsid w:val="00F36ABF"/>
    <w:rsid w:val="00F37EF9"/>
    <w:rsid w:val="00F5538F"/>
    <w:rsid w:val="00F63F50"/>
    <w:rsid w:val="00FA08FD"/>
    <w:rsid w:val="00FA3A78"/>
    <w:rsid w:val="00FA43B1"/>
    <w:rsid w:val="00FB7C5D"/>
    <w:rsid w:val="00FD04A9"/>
    <w:rsid w:val="00FD2A64"/>
    <w:rsid w:val="00FD5A47"/>
    <w:rsid w:val="00FE642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79C78"/>
  <w15:docId w15:val="{3C19E286-C54C-4198-9501-B70A57B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43B1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paragraph"/>
    <w:basedOn w:val="Normln"/>
    <w:uiPriority w:val="99"/>
    <w:semiHidden/>
    <w:rsid w:val="00FA43B1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FA43B1"/>
    <w:rPr>
      <w:b/>
      <w:bCs/>
    </w:rPr>
  </w:style>
  <w:style w:type="character" w:styleId="Zdraznn">
    <w:name w:val="Emphasis"/>
    <w:uiPriority w:val="20"/>
    <w:qFormat/>
    <w:rsid w:val="00FA43B1"/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4A34F8"/>
    <w:rPr>
      <w:i/>
    </w:rPr>
  </w:style>
  <w:style w:type="paragraph" w:styleId="Zkladntext">
    <w:name w:val="Body Text"/>
    <w:basedOn w:val="Normln"/>
    <w:link w:val="ZkladntextChar"/>
    <w:rsid w:val="00534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34C8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BA7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E1F"/>
    <w:rPr>
      <w:sz w:val="24"/>
      <w:szCs w:val="24"/>
    </w:rPr>
  </w:style>
  <w:style w:type="paragraph" w:styleId="Zpat">
    <w:name w:val="footer"/>
    <w:basedOn w:val="Normln"/>
    <w:link w:val="ZpatChar"/>
    <w:rsid w:val="00BA7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21\Rozpo&#269;et%202021\Rozbor%20p&#345;&#237;jm&#367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21\Rozpo&#269;et%202021\Rozbor%20p&#345;&#237;jm&#367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21\Rozpo&#269;et%202021\Rozbor%20p&#345;&#237;jm&#367;%20202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yn&#269;lov&#225;\Documents\Rok%202021\Finance%202021\Pln&#283;n&#237;%20da&#328;ov&#253;ch%20p&#345;&#237;jm&#367;%202018,2019,2020,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k%202020\Finance\Pln&#283;n&#237;%20da&#328;ov&#253;ch%20p&#345;&#237;jm&#367;%202017,2018,2019,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k%202020\Finance\Pln&#283;n&#237;%20da&#328;ov&#253;ch%20p&#345;&#237;jm&#367;%202017,2018,2019,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k%202020\Finance\Pln&#283;n&#237;%20da&#328;ov&#253;ch%20p&#345;&#237;jm&#367;%202017,2018,2019,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k%202020\Finance\Pln&#283;n&#237;%20da&#328;ov&#253;ch%20p&#345;&#237;jm&#367;%202017,2018,2019,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Příjmy ze sdílených a výlučných daní 
 v letech 2005 - 2021</a:t>
            </a:r>
          </a:p>
        </c:rich>
      </c:tx>
      <c:layout>
        <c:manualLayout>
          <c:xMode val="edge"/>
          <c:yMode val="edge"/>
          <c:x val="0.2302262612430363"/>
          <c:y val="1.53845743901301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522676324642183E-2"/>
          <c:y val="0.13987974767694375"/>
          <c:w val="0.87853228522836835"/>
          <c:h val="0.75042860314603888"/>
        </c:manualLayout>
      </c:layout>
      <c:lineChart>
        <c:grouping val="stacked"/>
        <c:varyColors val="0"/>
        <c:ser>
          <c:idx val="0"/>
          <c:order val="0"/>
          <c:tx>
            <c:strRef>
              <c:f>'příjem z daní'!$AA$35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817333816335659E-2"/>
                  <c:y val="-5.7080287450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FF-4A31-AF04-5A5321E614DF}"/>
                </c:ext>
              </c:extLst>
            </c:dLbl>
            <c:dLbl>
              <c:idx val="1"/>
              <c:layout>
                <c:manualLayout>
                  <c:x val="-3.0864758505977266E-2"/>
                  <c:y val="-3.441473369128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FF-4A31-AF04-5A5321E614DF}"/>
                </c:ext>
              </c:extLst>
            </c:dLbl>
            <c:dLbl>
              <c:idx val="2"/>
              <c:layout>
                <c:manualLayout>
                  <c:x val="-3.8135589770230634E-2"/>
                  <c:y val="-6.152436756845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FF-4A31-AF04-5A5321E614DF}"/>
                </c:ext>
              </c:extLst>
            </c:dLbl>
            <c:dLbl>
              <c:idx val="3"/>
              <c:layout>
                <c:manualLayout>
                  <c:x val="-4.3032032063185746E-2"/>
                  <c:y val="-4.1178659774127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FF-4A31-AF04-5A5321E614DF}"/>
                </c:ext>
              </c:extLst>
            </c:dLbl>
            <c:dLbl>
              <c:idx val="4"/>
              <c:layout>
                <c:manualLayout>
                  <c:x val="-4.4379709453314382E-2"/>
                  <c:y val="-3.5740304035599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FF-4A31-AF04-5A5321E614DF}"/>
                </c:ext>
              </c:extLst>
            </c:dLbl>
            <c:dLbl>
              <c:idx val="5"/>
              <c:layout>
                <c:manualLayout>
                  <c:x val="-4.1525479171081271E-2"/>
                  <c:y val="-5.8435081709420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FF-4A31-AF04-5A5321E614DF}"/>
                </c:ext>
              </c:extLst>
            </c:dLbl>
            <c:dLbl>
              <c:idx val="6"/>
              <c:layout>
                <c:manualLayout>
                  <c:x val="-2.2539642145115522E-2"/>
                  <c:y val="-3.7892186553603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FF-4A31-AF04-5A5321E614DF}"/>
                </c:ext>
              </c:extLst>
            </c:dLbl>
            <c:dLbl>
              <c:idx val="7"/>
              <c:layout>
                <c:manualLayout>
                  <c:x val="-4.3783371518989964E-2"/>
                  <c:y val="3.0672910726684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FF-4A31-AF04-5A5321E614DF}"/>
                </c:ext>
              </c:extLst>
            </c:dLbl>
            <c:dLbl>
              <c:idx val="8"/>
              <c:layout>
                <c:manualLayout>
                  <c:x val="-4.8084681114465372E-2"/>
                  <c:y val="-5.0346092525236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FF-4A31-AF04-5A5321E614DF}"/>
                </c:ext>
              </c:extLst>
            </c:dLbl>
            <c:dLbl>
              <c:idx val="9"/>
              <c:layout>
                <c:manualLayout>
                  <c:x val="-3.8512201785053546E-2"/>
                  <c:y val="-2.5673465943660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FF-4A31-AF04-5A5321E614DF}"/>
                </c:ext>
              </c:extLst>
            </c:dLbl>
            <c:dLbl>
              <c:idx val="10"/>
              <c:layout>
                <c:manualLayout>
                  <c:x val="-2.8206439541591955E-2"/>
                  <c:y val="2.4385545556805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FF-4A31-AF04-5A5321E614DF}"/>
                </c:ext>
              </c:extLst>
            </c:dLbl>
            <c:dLbl>
              <c:idx val="11"/>
              <c:layout>
                <c:manualLayout>
                  <c:x val="-2.9179295663811094E-2"/>
                  <c:y val="-3.3241839141589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FF-4A31-AF04-5A5321E614DF}"/>
                </c:ext>
              </c:extLst>
            </c:dLbl>
            <c:dLbl>
              <c:idx val="12"/>
              <c:layout>
                <c:manualLayout>
                  <c:x val="-4.8690810881841351E-2"/>
                  <c:y val="-4.526515403848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CFF-4A31-AF04-5A5321E614DF}"/>
                </c:ext>
              </c:extLst>
            </c:dLbl>
            <c:dLbl>
              <c:idx val="13"/>
              <c:layout>
                <c:manualLayout>
                  <c:x val="-4.8210934313394849E-2"/>
                  <c:y val="-4.8508175055281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CFF-4A31-AF04-5A5321E614DF}"/>
                </c:ext>
              </c:extLst>
            </c:dLbl>
            <c:dLbl>
              <c:idx val="14"/>
              <c:layout>
                <c:manualLayout>
                  <c:x val="-6.3944845657755933E-2"/>
                  <c:y val="-3.7896519970650945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CFF-4A31-AF04-5A5321E614DF}"/>
                </c:ext>
              </c:extLst>
            </c:dLbl>
            <c:dLbl>
              <c:idx val="15"/>
              <c:layout>
                <c:manualLayout>
                  <c:x val="-5.5089123599595405E-2"/>
                  <c:y val="-3.4188092559858586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CFF-4A31-AF04-5A5321E614DF}"/>
                </c:ext>
              </c:extLst>
            </c:dLbl>
            <c:dLbl>
              <c:idx val="16"/>
              <c:layout>
                <c:manualLayout>
                  <c:x val="-4.5829734154517958E-2"/>
                  <c:y val="-3.4961433392254583E-2"/>
                </c:manualLayout>
              </c:layout>
              <c:spPr>
                <a:solidFill>
                  <a:srgbClr val="FFFF00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CFF-4A31-AF04-5A5321E614DF}"/>
                </c:ext>
              </c:extLst>
            </c:dLbl>
            <c:dLbl>
              <c:idx val="17"/>
              <c:spPr>
                <a:solidFill>
                  <a:srgbClr val="FFFF00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ACFF-4A31-AF04-5A5321E614DF}"/>
                </c:ext>
              </c:extLst>
            </c:dLbl>
            <c:spPr>
              <a:solidFill>
                <a:schemeClr val="bg1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'příjem z daní'!$F$3:$V$3</c:f>
              <c:strCache>
                <c:ptCount val="1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R 2021</c:v>
                </c:pt>
              </c:strCache>
            </c:strRef>
          </c:cat>
          <c:val>
            <c:numRef>
              <c:f>'příjem z daní'!$F$10:$V$10</c:f>
              <c:numCache>
                <c:formatCode>#,##0</c:formatCode>
                <c:ptCount val="17"/>
                <c:pt idx="0">
                  <c:v>42398.241999999998</c:v>
                </c:pt>
                <c:pt idx="1">
                  <c:v>41832</c:v>
                </c:pt>
                <c:pt idx="2">
                  <c:v>44396.766989999996</c:v>
                </c:pt>
                <c:pt idx="3">
                  <c:v>49218</c:v>
                </c:pt>
                <c:pt idx="4">
                  <c:v>40252</c:v>
                </c:pt>
                <c:pt idx="5">
                  <c:v>42974</c:v>
                </c:pt>
                <c:pt idx="6">
                  <c:v>42809</c:v>
                </c:pt>
                <c:pt idx="7">
                  <c:v>43330.958019999998</c:v>
                </c:pt>
                <c:pt idx="8">
                  <c:v>56592</c:v>
                </c:pt>
                <c:pt idx="9">
                  <c:v>61084</c:v>
                </c:pt>
                <c:pt idx="10">
                  <c:v>61439</c:v>
                </c:pt>
                <c:pt idx="11">
                  <c:v>66132</c:v>
                </c:pt>
                <c:pt idx="12">
                  <c:v>70933</c:v>
                </c:pt>
                <c:pt idx="13">
                  <c:v>79178</c:v>
                </c:pt>
                <c:pt idx="14">
                  <c:v>84835.309699999998</c:v>
                </c:pt>
                <c:pt idx="15">
                  <c:v>79935</c:v>
                </c:pt>
                <c:pt idx="16">
                  <c:v>73400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ACFF-4A31-AF04-5A5321E61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39200"/>
        <c:axId val="94061696"/>
      </c:lineChart>
      <c:catAx>
        <c:axId val="92339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271261052842709"/>
              <c:y val="0.9367536672129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9406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061696"/>
        <c:scaling>
          <c:orientation val="minMax"/>
          <c:max val="90000"/>
          <c:min val="35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900"/>
                  <a:t>tis. Kč</a:t>
                </a:r>
              </a:p>
            </c:rich>
          </c:tx>
          <c:layout>
            <c:manualLayout>
              <c:xMode val="edge"/>
              <c:yMode val="edge"/>
              <c:x val="5.5837249592812756E-2"/>
              <c:y val="4.3499384911911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92339200"/>
        <c:crosses val="autoZero"/>
        <c:crossBetween val="between"/>
        <c:majorUnit val="5000"/>
        <c:minorUnit val="400"/>
      </c:valAx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CC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en-US"/>
              <a:t>Počet obyvatel</a:t>
            </a:r>
            <a:r>
              <a:rPr lang="cs-CZ"/>
              <a:t>  Jilemnice v letech 2004-2020 </a:t>
            </a:r>
            <a:endParaRPr lang="en-US"/>
          </a:p>
        </c:rich>
      </c:tx>
      <c:layout>
        <c:manualLayout>
          <c:xMode val="edge"/>
          <c:yMode val="edge"/>
          <c:x val="0.19969193163831619"/>
          <c:y val="1.538461538461538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573368052313623E-2"/>
          <c:y val="0.14488277797762589"/>
          <c:w val="0.87853228522836835"/>
          <c:h val="0.75042860314603888"/>
        </c:manualLayout>
      </c:layout>
      <c:lineChart>
        <c:grouping val="stacked"/>
        <c:varyColors val="0"/>
        <c:ser>
          <c:idx val="0"/>
          <c:order val="0"/>
          <c:tx>
            <c:strRef>
              <c:f>obyvatelé!$AB$31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817333816335659E-2"/>
                  <c:y val="-5.7080287450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91-443D-944E-D3F328219CED}"/>
                </c:ext>
              </c:extLst>
            </c:dLbl>
            <c:dLbl>
              <c:idx val="1"/>
              <c:layout>
                <c:manualLayout>
                  <c:x val="-3.0864758505977266E-2"/>
                  <c:y val="-3.441473369128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91-443D-944E-D3F328219CED}"/>
                </c:ext>
              </c:extLst>
            </c:dLbl>
            <c:dLbl>
              <c:idx val="2"/>
              <c:layout>
                <c:manualLayout>
                  <c:x val="-2.1850574021758731E-2"/>
                  <c:y val="-7.0071337236691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91-443D-944E-D3F328219CED}"/>
                </c:ext>
              </c:extLst>
            </c:dLbl>
            <c:dLbl>
              <c:idx val="3"/>
              <c:layout>
                <c:manualLayout>
                  <c:x val="-4.3032032063185746E-2"/>
                  <c:y val="-4.1178659774127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91-443D-944E-D3F328219CED}"/>
                </c:ext>
              </c:extLst>
            </c:dLbl>
            <c:dLbl>
              <c:idx val="4"/>
              <c:layout>
                <c:manualLayout>
                  <c:x val="-4.4379709453314382E-2"/>
                  <c:y val="-3.5740304035599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91-443D-944E-D3F328219CED}"/>
                </c:ext>
              </c:extLst>
            </c:dLbl>
            <c:dLbl>
              <c:idx val="5"/>
              <c:layout>
                <c:manualLayout>
                  <c:x val="-4.1525479171081271E-2"/>
                  <c:y val="-5.8435081709420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91-443D-944E-D3F328219CED}"/>
                </c:ext>
              </c:extLst>
            </c:dLbl>
            <c:dLbl>
              <c:idx val="6"/>
              <c:layout>
                <c:manualLayout>
                  <c:x val="-4.008354686889435E-2"/>
                  <c:y val="-3.7892268542574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91-443D-944E-D3F328219CED}"/>
                </c:ext>
              </c:extLst>
            </c:dLbl>
            <c:dLbl>
              <c:idx val="7"/>
              <c:layout>
                <c:manualLayout>
                  <c:x val="-4.1057241890565206E-2"/>
                  <c:y val="-7.3558785920990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91-443D-944E-D3F328219CED}"/>
                </c:ext>
              </c:extLst>
            </c:dLbl>
            <c:dLbl>
              <c:idx val="8"/>
              <c:layout>
                <c:manualLayout>
                  <c:x val="-4.8084681114465372E-2"/>
                  <c:y val="-5.0346092525236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91-443D-944E-D3F328219CED}"/>
                </c:ext>
              </c:extLst>
            </c:dLbl>
            <c:dLbl>
              <c:idx val="9"/>
              <c:layout>
                <c:manualLayout>
                  <c:x val="-3.8512201785053546E-2"/>
                  <c:y val="-2.5673465943660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91-443D-944E-D3F328219CED}"/>
                </c:ext>
              </c:extLst>
            </c:dLbl>
            <c:dLbl>
              <c:idx val="10"/>
              <c:layout>
                <c:manualLayout>
                  <c:x val="-1.4962627582481862E-2"/>
                  <c:y val="-2.1532749306899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91-443D-944E-D3F328219CED}"/>
                </c:ext>
              </c:extLst>
            </c:dLbl>
            <c:dLbl>
              <c:idx val="11"/>
              <c:layout>
                <c:manualLayout>
                  <c:x val="-4.3824407445252553E-2"/>
                  <c:y val="3.9442313300581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91-443D-944E-D3F328219CED}"/>
                </c:ext>
              </c:extLst>
            </c:dLbl>
            <c:dLbl>
              <c:idx val="12"/>
              <c:layout>
                <c:manualLayout>
                  <c:x val="-4.8690810881841351E-2"/>
                  <c:y val="-4.526515403848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991-443D-944E-D3F328219CED}"/>
                </c:ext>
              </c:extLst>
            </c:dLbl>
            <c:dLbl>
              <c:idx val="13"/>
              <c:layout>
                <c:manualLayout>
                  <c:x val="-4.8210934313394849E-2"/>
                  <c:y val="-4.8508175055281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91-443D-944E-D3F328219CED}"/>
                </c:ext>
              </c:extLst>
            </c:dLbl>
            <c:dLbl>
              <c:idx val="14"/>
              <c:layout>
                <c:manualLayout>
                  <c:x val="-4.0553013877217915E-2"/>
                  <c:y val="-3.7896354326267589E-2"/>
                </c:manualLayout>
              </c:layout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991-443D-944E-D3F328219CED}"/>
                </c:ext>
              </c:extLst>
            </c:dLbl>
            <c:dLbl>
              <c:idx val="15"/>
              <c:layout>
                <c:manualLayout>
                  <c:x val="-2.7970495782888929E-2"/>
                  <c:y val="-3.4188061517691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91-443D-944E-D3F328219CED}"/>
                </c:ext>
              </c:extLst>
            </c:dLbl>
            <c:dLbl>
              <c:idx val="16"/>
              <c:layout>
                <c:manualLayout>
                  <c:x val="-1.8106995884773661E-2"/>
                  <c:y val="3.6467236467236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91-443D-944E-D3F328219CED}"/>
                </c:ext>
              </c:extLst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obyvatelé!$G$3:$V$3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obyvatelé!$G$4:$V$4</c:f>
              <c:numCache>
                <c:formatCode>#,##0</c:formatCode>
                <c:ptCount val="16"/>
                <c:pt idx="0">
                  <c:v>5774</c:v>
                </c:pt>
                <c:pt idx="1">
                  <c:v>5770</c:v>
                </c:pt>
                <c:pt idx="2">
                  <c:v>5710</c:v>
                </c:pt>
                <c:pt idx="3">
                  <c:v>5731</c:v>
                </c:pt>
                <c:pt idx="4">
                  <c:v>5715</c:v>
                </c:pt>
                <c:pt idx="5">
                  <c:v>5681</c:v>
                </c:pt>
                <c:pt idx="6">
                  <c:v>5685</c:v>
                </c:pt>
                <c:pt idx="7">
                  <c:v>5604</c:v>
                </c:pt>
                <c:pt idx="8">
                  <c:v>5616</c:v>
                </c:pt>
                <c:pt idx="9">
                  <c:v>5596</c:v>
                </c:pt>
                <c:pt idx="10">
                  <c:v>5499</c:v>
                </c:pt>
                <c:pt idx="11">
                  <c:v>5515</c:v>
                </c:pt>
                <c:pt idx="12">
                  <c:v>5470</c:v>
                </c:pt>
                <c:pt idx="13">
                  <c:v>5410</c:v>
                </c:pt>
                <c:pt idx="14">
                  <c:v>5391</c:v>
                </c:pt>
                <c:pt idx="15">
                  <c:v>5401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991-443D-944E-D3F328219CED}"/>
            </c:ext>
          </c:extLst>
        </c:ser>
        <c:ser>
          <c:idx val="2"/>
          <c:order val="1"/>
          <c:tx>
            <c:strRef>
              <c:f>obyvatelé!$B$5</c:f>
              <c:strCache>
                <c:ptCount val="1"/>
                <c:pt idx="0">
                  <c:v>počet žáků</c:v>
                </c:pt>
              </c:strCache>
            </c:strRef>
          </c:tx>
          <c:cat>
            <c:numRef>
              <c:f>obyvatelé!$G$3:$V$3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obyvatelé!$O$5:$T$5</c:f>
              <c:numCache>
                <c:formatCode>#,##0</c:formatCode>
                <c:ptCount val="6"/>
                <c:pt idx="0">
                  <c:v>953</c:v>
                </c:pt>
                <c:pt idx="1">
                  <c:v>967</c:v>
                </c:pt>
                <c:pt idx="2">
                  <c:v>944</c:v>
                </c:pt>
                <c:pt idx="3">
                  <c:v>933</c:v>
                </c:pt>
                <c:pt idx="4">
                  <c:v>956</c:v>
                </c:pt>
                <c:pt idx="5">
                  <c:v>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E991-443D-944E-D3F328219CED}"/>
            </c:ext>
          </c:extLst>
        </c:ser>
        <c:ser>
          <c:idx val="1"/>
          <c:order val="2"/>
          <c:tx>
            <c:strRef>
              <c:f>obyvatelé!$B$5</c:f>
              <c:strCache>
                <c:ptCount val="1"/>
                <c:pt idx="0">
                  <c:v>počet žáků</c:v>
                </c:pt>
              </c:strCache>
            </c:strRef>
          </c:tx>
          <c:cat>
            <c:numRef>
              <c:f>obyvatelé!$G$3:$V$3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obyvatelé!$O$5:$T$5</c:f>
              <c:numCache>
                <c:formatCode>#,##0</c:formatCode>
                <c:ptCount val="6"/>
                <c:pt idx="0">
                  <c:v>953</c:v>
                </c:pt>
                <c:pt idx="1">
                  <c:v>967</c:v>
                </c:pt>
                <c:pt idx="2">
                  <c:v>944</c:v>
                </c:pt>
                <c:pt idx="3">
                  <c:v>933</c:v>
                </c:pt>
                <c:pt idx="4">
                  <c:v>956</c:v>
                </c:pt>
                <c:pt idx="5">
                  <c:v>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991-443D-944E-D3F328219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721664"/>
        <c:axId val="92148864"/>
      </c:lineChart>
      <c:catAx>
        <c:axId val="110721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271261052842709"/>
              <c:y val="0.9367536672129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92148864"/>
        <c:crosses val="autoZero"/>
        <c:auto val="1"/>
        <c:lblAlgn val="ctr"/>
        <c:lblOffset val="100"/>
        <c:noMultiLvlLbl val="0"/>
      </c:catAx>
      <c:valAx>
        <c:axId val="92148864"/>
        <c:scaling>
          <c:orientation val="minMax"/>
          <c:max val="5900"/>
          <c:min val="53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10721664"/>
        <c:crosses val="autoZero"/>
        <c:crossBetween val="between"/>
        <c:majorUnit val="100"/>
      </c:valAx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CC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en-US"/>
              <a:t>Počet </a:t>
            </a:r>
            <a:r>
              <a:rPr lang="cs-CZ"/>
              <a:t>žáků v letech 2013 - 2020 </a:t>
            </a:r>
            <a:r>
              <a:rPr lang="cs-CZ" sz="1000"/>
              <a:t>(od zařazení parametru do RUD)</a:t>
            </a:r>
            <a:endParaRPr lang="en-US" sz="1000"/>
          </a:p>
        </c:rich>
      </c:tx>
      <c:layout>
        <c:manualLayout>
          <c:xMode val="edge"/>
          <c:yMode val="edge"/>
          <c:x val="0.11905805252604292"/>
          <c:y val="4.33566539670855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573368052313623E-2"/>
          <c:y val="0.14488277797762589"/>
          <c:w val="0.87853228522836835"/>
          <c:h val="0.75042860314603888"/>
        </c:manualLayout>
      </c:layout>
      <c:lineChart>
        <c:grouping val="stacked"/>
        <c:varyColors val="0"/>
        <c:ser>
          <c:idx val="0"/>
          <c:order val="0"/>
          <c:tx>
            <c:strRef>
              <c:f>obyvatelé!$B$5</c:f>
              <c:strCache>
                <c:ptCount val="1"/>
                <c:pt idx="0">
                  <c:v>počet žáků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817333816335659E-2"/>
                  <c:y val="-5.7080287450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AD-4402-BFED-8958EA7E5DF9}"/>
                </c:ext>
              </c:extLst>
            </c:dLbl>
            <c:dLbl>
              <c:idx val="1"/>
              <c:layout>
                <c:manualLayout>
                  <c:x val="-3.0864758505977266E-2"/>
                  <c:y val="-3.441473369128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AD-4402-BFED-8958EA7E5DF9}"/>
                </c:ext>
              </c:extLst>
            </c:dLbl>
            <c:dLbl>
              <c:idx val="2"/>
              <c:layout>
                <c:manualLayout>
                  <c:x val="-3.8135589770230634E-2"/>
                  <c:y val="-6.152436756845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AD-4402-BFED-8958EA7E5DF9}"/>
                </c:ext>
              </c:extLst>
            </c:dLbl>
            <c:dLbl>
              <c:idx val="3"/>
              <c:layout>
                <c:manualLayout>
                  <c:x val="-4.3032032063185746E-2"/>
                  <c:y val="-4.1178659774127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AD-4402-BFED-8958EA7E5DF9}"/>
                </c:ext>
              </c:extLst>
            </c:dLbl>
            <c:dLbl>
              <c:idx val="4"/>
              <c:layout>
                <c:manualLayout>
                  <c:x val="-4.4379709453314382E-2"/>
                  <c:y val="-3.5740304035599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AD-4402-BFED-8958EA7E5DF9}"/>
                </c:ext>
              </c:extLst>
            </c:dLbl>
            <c:dLbl>
              <c:idx val="5"/>
              <c:layout>
                <c:manualLayout>
                  <c:x val="-4.1525479171081271E-2"/>
                  <c:y val="-5.8435081709420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AD-4402-BFED-8958EA7E5DF9}"/>
                </c:ext>
              </c:extLst>
            </c:dLbl>
            <c:dLbl>
              <c:idx val="6"/>
              <c:layout>
                <c:manualLayout>
                  <c:x val="-4.008354686889435E-2"/>
                  <c:y val="-3.7892268542574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AD-4402-BFED-8958EA7E5DF9}"/>
                </c:ext>
              </c:extLst>
            </c:dLbl>
            <c:dLbl>
              <c:idx val="7"/>
              <c:layout>
                <c:manualLayout>
                  <c:x val="-5.9377893968787496E-2"/>
                  <c:y val="-3.9370789311234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AD-4402-BFED-8958EA7E5DF9}"/>
                </c:ext>
              </c:extLst>
            </c:dLbl>
            <c:dLbl>
              <c:idx val="8"/>
              <c:layout>
                <c:manualLayout>
                  <c:x val="-4.8084681114465372E-2"/>
                  <c:y val="-5.0346092525236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AD-4402-BFED-8958EA7E5DF9}"/>
                </c:ext>
              </c:extLst>
            </c:dLbl>
            <c:dLbl>
              <c:idx val="9"/>
              <c:layout>
                <c:manualLayout>
                  <c:x val="-3.8512201785053546E-2"/>
                  <c:y val="-2.5673465943660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AD-4402-BFED-8958EA7E5DF9}"/>
                </c:ext>
              </c:extLst>
            </c:dLbl>
            <c:dLbl>
              <c:idx val="10"/>
              <c:layout>
                <c:manualLayout>
                  <c:x val="-1.4962627582481862E-2"/>
                  <c:y val="-2.1532749306899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AD-4402-BFED-8958EA7E5DF9}"/>
                </c:ext>
              </c:extLst>
            </c:dLbl>
            <c:dLbl>
              <c:idx val="11"/>
              <c:layout>
                <c:manualLayout>
                  <c:x val="-6.6216288181368627E-2"/>
                  <c:y val="-2.3235674220925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AD-4402-BFED-8958EA7E5DF9}"/>
                </c:ext>
              </c:extLst>
            </c:dLbl>
            <c:dLbl>
              <c:idx val="12"/>
              <c:layout>
                <c:manualLayout>
                  <c:x val="-4.8690810881841351E-2"/>
                  <c:y val="-4.526515403848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1AD-4402-BFED-8958EA7E5DF9}"/>
                </c:ext>
              </c:extLst>
            </c:dLbl>
            <c:dLbl>
              <c:idx val="13"/>
              <c:layout>
                <c:manualLayout>
                  <c:x val="-4.8210934313394849E-2"/>
                  <c:y val="-4.8508175055281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AD-4402-BFED-8958EA7E5DF9}"/>
                </c:ext>
              </c:extLst>
            </c:dLbl>
            <c:dLbl>
              <c:idx val="14"/>
              <c:layout>
                <c:manualLayout>
                  <c:x val="-4.0553013877217915E-2"/>
                  <c:y val="-3.7896354326267589E-2"/>
                </c:manualLayout>
              </c:layout>
              <c:spPr>
                <a:solidFill>
                  <a:schemeClr val="bg1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AD-4402-BFED-8958EA7E5DF9}"/>
                </c:ext>
              </c:extLst>
            </c:dLbl>
            <c:dLbl>
              <c:idx val="15"/>
              <c:layout>
                <c:manualLayout>
                  <c:x val="-2.7970495782888929E-2"/>
                  <c:y val="-3.4188061517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AD-4402-BFED-8958EA7E5DF9}"/>
                </c:ext>
              </c:extLst>
            </c:dLbl>
            <c:dLbl>
              <c:idx val="16"/>
              <c:layout>
                <c:manualLayout>
                  <c:x val="-1.8106995884773661E-2"/>
                  <c:y val="3.6467236467236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1AD-4402-BFED-8958EA7E5DF9}"/>
                </c:ext>
              </c:extLst>
            </c:dLbl>
            <c:spPr>
              <a:solidFill>
                <a:schemeClr val="bg1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obyvatelé!$O$3:$V$3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obyvatelé!$O$5:$V$5</c:f>
              <c:numCache>
                <c:formatCode>#,##0</c:formatCode>
                <c:ptCount val="8"/>
                <c:pt idx="0">
                  <c:v>953</c:v>
                </c:pt>
                <c:pt idx="1">
                  <c:v>967</c:v>
                </c:pt>
                <c:pt idx="2">
                  <c:v>944</c:v>
                </c:pt>
                <c:pt idx="3">
                  <c:v>933</c:v>
                </c:pt>
                <c:pt idx="4">
                  <c:v>956</c:v>
                </c:pt>
                <c:pt idx="5">
                  <c:v>937</c:v>
                </c:pt>
                <c:pt idx="6" formatCode="General">
                  <c:v>881</c:v>
                </c:pt>
                <c:pt idx="7" formatCode="General">
                  <c:v>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1AD-4402-BFED-8958EA7E5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192768"/>
        <c:axId val="92194688"/>
      </c:lineChart>
      <c:catAx>
        <c:axId val="92192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271261052842709"/>
              <c:y val="0.9367536672129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92194688"/>
        <c:crosses val="autoZero"/>
        <c:auto val="1"/>
        <c:lblAlgn val="ctr"/>
        <c:lblOffset val="100"/>
        <c:noMultiLvlLbl val="0"/>
      </c:catAx>
      <c:valAx>
        <c:axId val="92194688"/>
        <c:scaling>
          <c:orientation val="minMax"/>
          <c:max val="980"/>
          <c:min val="8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92192768"/>
        <c:crosses val="autoZero"/>
        <c:crossBetween val="between"/>
      </c:valAx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CC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Daňové příjmy v roce 2020 - po úpravě rozpočtu </a:t>
            </a:r>
          </a:p>
        </c:rich>
      </c:tx>
      <c:layout>
        <c:manualLayout>
          <c:xMode val="edge"/>
          <c:yMode val="edge"/>
          <c:x val="0.14709628147310316"/>
          <c:y val="1.20663650075414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1996007405151E-2"/>
          <c:y val="8.5218702865761692E-2"/>
          <c:w val="0.79926478919340826"/>
          <c:h val="0.80467666654790326"/>
        </c:manualLayout>
      </c:layout>
      <c:barChart>
        <c:barDir val="col"/>
        <c:grouping val="clustered"/>
        <c:varyColors val="0"/>
        <c:ser>
          <c:idx val="1"/>
          <c:order val="0"/>
          <c:tx>
            <c:v>Rozpočet 2020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úpravě'!$B$96:$M$96</c:f>
              <c:numCache>
                <c:formatCode>#,##0</c:formatCode>
                <c:ptCount val="12"/>
                <c:pt idx="0">
                  <c:v>5464.166666666667</c:v>
                </c:pt>
                <c:pt idx="1">
                  <c:v>10928.333333333334</c:v>
                </c:pt>
                <c:pt idx="2">
                  <c:v>16392.5</c:v>
                </c:pt>
                <c:pt idx="3">
                  <c:v>21856.666666666668</c:v>
                </c:pt>
                <c:pt idx="4">
                  <c:v>27320.833333333332</c:v>
                </c:pt>
                <c:pt idx="5">
                  <c:v>32785</c:v>
                </c:pt>
                <c:pt idx="6">
                  <c:v>38249.166666666664</c:v>
                </c:pt>
                <c:pt idx="7">
                  <c:v>43713.333333333336</c:v>
                </c:pt>
                <c:pt idx="8">
                  <c:v>49177.5</c:v>
                </c:pt>
                <c:pt idx="9">
                  <c:v>54641.666666666672</c:v>
                </c:pt>
                <c:pt idx="10">
                  <c:v>60105.83333333335</c:v>
                </c:pt>
                <c:pt idx="11">
                  <c:v>65570.000000000015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F4-4E01-AD67-B6016C83870B}"/>
            </c:ext>
          </c:extLst>
        </c:ser>
        <c:ser>
          <c:idx val="0"/>
          <c:order val="1"/>
          <c:tx>
            <c:v>Plnění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úpravě'!$B$105:$M$105</c:f>
              <c:numCache>
                <c:formatCode>#,##0</c:formatCode>
                <c:ptCount val="12"/>
                <c:pt idx="0">
                  <c:v>6121.0321700000004</c:v>
                </c:pt>
                <c:pt idx="1">
                  <c:v>12660.82591</c:v>
                </c:pt>
                <c:pt idx="2">
                  <c:v>19928.524890000001</c:v>
                </c:pt>
                <c:pt idx="3">
                  <c:v>24387.237639999999</c:v>
                </c:pt>
                <c:pt idx="4">
                  <c:v>28085.610529999998</c:v>
                </c:pt>
                <c:pt idx="5">
                  <c:v>35562.76627</c:v>
                </c:pt>
                <c:pt idx="6">
                  <c:v>43040.93146</c:v>
                </c:pt>
                <c:pt idx="7">
                  <c:v>49277.502290000004</c:v>
                </c:pt>
                <c:pt idx="8">
                  <c:v>57255.206739999994</c:v>
                </c:pt>
                <c:pt idx="9">
                  <c:v>63191.507780000007</c:v>
                </c:pt>
                <c:pt idx="10">
                  <c:v>69857.382410000006</c:v>
                </c:pt>
                <c:pt idx="11">
                  <c:v>79934.556909999999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F4-4E01-AD67-B6016C838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55616"/>
        <c:axId val="98661504"/>
      </c:barChart>
      <c:lineChart>
        <c:grouping val="standard"/>
        <c:varyColors val="0"/>
        <c:ser>
          <c:idx val="2"/>
          <c:order val="2"/>
          <c:tx>
            <c:v>Rozdíl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5"/>
              <c:layout>
                <c:manualLayout>
                  <c:x val="-4.3818390104551845E-2"/>
                  <c:y val="-3.4396503604470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F4-4E01-AD67-B6016C83870B}"/>
                </c:ext>
              </c:extLst>
            </c:dLbl>
            <c:dLbl>
              <c:idx val="6"/>
              <c:layout>
                <c:manualLayout>
                  <c:x val="-5.1184872609155899E-2"/>
                  <c:y val="-3.1379912352584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F4-4E01-AD67-B6016C83870B}"/>
                </c:ext>
              </c:extLst>
            </c:dLbl>
            <c:dLbl>
              <c:idx val="7"/>
              <c:layout>
                <c:manualLayout>
                  <c:x val="-4.8729378440954547E-2"/>
                  <c:y val="-7.6628781130865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F4-4E01-AD67-B6016C83870B}"/>
                </c:ext>
              </c:extLst>
            </c:dLbl>
            <c:dLbl>
              <c:idx val="8"/>
              <c:layout>
                <c:manualLayout>
                  <c:x val="-3.8090901620722824E-2"/>
                  <c:y val="-2.8363321100699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F4-4E01-AD67-B6016C83870B}"/>
                </c:ext>
              </c:extLst>
            </c:dLbl>
            <c:dLbl>
              <c:idx val="9"/>
              <c:layout>
                <c:manualLayout>
                  <c:x val="-4.5457384125326877E-2"/>
                  <c:y val="-2.8363321100699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F4-4E01-AD67-B6016C83870B}"/>
                </c:ext>
              </c:extLst>
            </c:dLbl>
            <c:dLbl>
              <c:idx val="10"/>
              <c:layout>
                <c:manualLayout>
                  <c:x val="-5.7734854966333807E-2"/>
                  <c:y val="-4.4954454222633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904332400438899E-2"/>
                      <c:h val="4.58372228358332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BF4-4E01-AD67-B6016C83870B}"/>
                </c:ext>
              </c:extLst>
            </c:dLbl>
            <c:dLbl>
              <c:idx val="11"/>
              <c:layout>
                <c:manualLayout>
                  <c:x val="-9.6194080712286661E-2"/>
                  <c:y val="1.7715941615895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F4-4E01-AD67-B6016C83870B}"/>
                </c:ext>
              </c:extLst>
            </c:dLbl>
            <c:numFmt formatCode="#,##0_ ;[Red]\-#,##0\ 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'2020 po úpravě'!$B$106:$M$106</c:f>
              <c:numCache>
                <c:formatCode>#,##0</c:formatCode>
                <c:ptCount val="12"/>
                <c:pt idx="0">
                  <c:v>656.86550333333344</c:v>
                </c:pt>
                <c:pt idx="1">
                  <c:v>1732.4925766666656</c:v>
                </c:pt>
                <c:pt idx="2">
                  <c:v>3536.0248900000006</c:v>
                </c:pt>
                <c:pt idx="3">
                  <c:v>2530.5709733333315</c:v>
                </c:pt>
                <c:pt idx="4">
                  <c:v>764.77719666666599</c:v>
                </c:pt>
                <c:pt idx="5">
                  <c:v>2777.7662700000001</c:v>
                </c:pt>
                <c:pt idx="6">
                  <c:v>4791.7647933333355</c:v>
                </c:pt>
                <c:pt idx="7">
                  <c:v>5564.1689566666682</c:v>
                </c:pt>
                <c:pt idx="8">
                  <c:v>8077.7067399999942</c:v>
                </c:pt>
                <c:pt idx="9">
                  <c:v>8549.8411133333357</c:v>
                </c:pt>
                <c:pt idx="10">
                  <c:v>9751.5490766666553</c:v>
                </c:pt>
                <c:pt idx="11">
                  <c:v>14364.556909999985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BF4-4E01-AD67-B6016C838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663040"/>
        <c:axId val="98677120"/>
      </c:lineChart>
      <c:catAx>
        <c:axId val="98655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986615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661504"/>
        <c:scaling>
          <c:orientation val="minMax"/>
          <c:max val="90000"/>
          <c:min val="0"/>
        </c:scaling>
        <c:delete val="0"/>
        <c:axPos val="l"/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98655616"/>
        <c:crosses val="autoZero"/>
        <c:crossBetween val="between"/>
      </c:valAx>
      <c:catAx>
        <c:axId val="9866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98677120"/>
        <c:crosses val="autoZero"/>
        <c:auto val="0"/>
        <c:lblAlgn val="ctr"/>
        <c:lblOffset val="100"/>
        <c:noMultiLvlLbl val="0"/>
      </c:catAx>
      <c:valAx>
        <c:axId val="98677120"/>
        <c:scaling>
          <c:orientation val="minMax"/>
          <c:max val="15000"/>
          <c:min val="-10000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98663040"/>
        <c:crosses val="max"/>
        <c:crossBetween val="between"/>
        <c:majorUnit val="2000"/>
      </c:valAx>
      <c:spPr>
        <a:solidFill>
          <a:srgbClr val="FFFF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071861873619385"/>
          <c:y val="0.93966912506977351"/>
          <c:w val="0.44713814088156112"/>
          <c:h val="5.78805477369627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Plnění rozpočtu jednotlivých daní k 31.12.2020
</a:t>
            </a:r>
          </a:p>
        </c:rich>
      </c:tx>
      <c:layout>
        <c:manualLayout>
          <c:xMode val="edge"/>
          <c:yMode val="edge"/>
          <c:x val="0.1749543461763412"/>
          <c:y val="1.872659176029962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53671882174948E-2"/>
          <c:y val="9.4961809549087256E-2"/>
          <c:w val="0.89318761004332492"/>
          <c:h val="0.82209888170587864"/>
        </c:manualLayout>
      </c:layout>
      <c:barChart>
        <c:barDir val="col"/>
        <c:grouping val="clustered"/>
        <c:varyColors val="0"/>
        <c:ser>
          <c:idx val="0"/>
          <c:order val="0"/>
          <c:tx>
            <c:v>Rozpočet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1058309674488698E-3"/>
                  <c:y val="-8.42765459173626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32-4BB4-AFB2-2B106EAF623F}"/>
                </c:ext>
              </c:extLst>
            </c:dLbl>
            <c:dLbl>
              <c:idx val="4"/>
              <c:layout>
                <c:manualLayout>
                  <c:x val="-1.5244751864580464E-2"/>
                  <c:y val="-2.28621703185978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32-4BB4-AFB2-2B106EAF623F}"/>
                </c:ext>
              </c:extLst>
            </c:dLbl>
            <c:dLbl>
              <c:idx val="5"/>
              <c:layout>
                <c:manualLayout>
                  <c:x val="-7.571042569954999E-3"/>
                  <c:y val="-1.8297993649669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32-4BB4-AFB2-2B106EAF623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 po úpravě'!$A$99:$A$104</c:f>
              <c:strCache>
                <c:ptCount val="6"/>
                <c:pt idx="0">
                  <c:v>závislá č.</c:v>
                </c:pt>
                <c:pt idx="1">
                  <c:v>FO z přiznání</c:v>
                </c:pt>
                <c:pt idx="2">
                  <c:v>srážková</c:v>
                </c:pt>
                <c:pt idx="3">
                  <c:v>právnické o.</c:v>
                </c:pt>
                <c:pt idx="4">
                  <c:v>DPH</c:v>
                </c:pt>
                <c:pt idx="5">
                  <c:v>nemovitost</c:v>
                </c:pt>
              </c:strCache>
            </c:strRef>
          </c:cat>
          <c:val>
            <c:numRef>
              <c:f>'2020 po úpravě'!$M$90:$M$95</c:f>
              <c:numCache>
                <c:formatCode>#,##0</c:formatCode>
                <c:ptCount val="6"/>
                <c:pt idx="0">
                  <c:v>14500.000000000002</c:v>
                </c:pt>
                <c:pt idx="1">
                  <c:v>285</c:v>
                </c:pt>
                <c:pt idx="2">
                  <c:v>1475.0000000000002</c:v>
                </c:pt>
                <c:pt idx="3">
                  <c:v>10990.000000000002</c:v>
                </c:pt>
                <c:pt idx="4">
                  <c:v>34220.000000000007</c:v>
                </c:pt>
                <c:pt idx="5">
                  <c:v>4099.9999999999991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32-4BB4-AFB2-2B106EAF623F}"/>
            </c:ext>
          </c:extLst>
        </c:ser>
        <c:ser>
          <c:idx val="1"/>
          <c:order val="1"/>
          <c:tx>
            <c:v>Plnění 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554941682013503E-3"/>
                  <c:y val="-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32-4BB4-AFB2-2B106EAF623F}"/>
                </c:ext>
              </c:extLst>
            </c:dLbl>
            <c:dLbl>
              <c:idx val="1"/>
              <c:layout>
                <c:manualLayout>
                  <c:x val="7.878082214614902E-3"/>
                  <c:y val="-3.9454833364886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32-4BB4-AFB2-2B106EAF623F}"/>
                </c:ext>
              </c:extLst>
            </c:dLbl>
            <c:dLbl>
              <c:idx val="3"/>
              <c:layout>
                <c:manualLayout>
                  <c:x val="8.4918990277310195E-3"/>
                  <c:y val="-8.33523642561770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32-4BB4-AFB2-2B106EAF623F}"/>
                </c:ext>
              </c:extLst>
            </c:dLbl>
            <c:dLbl>
              <c:idx val="4"/>
              <c:layout>
                <c:manualLayout>
                  <c:x val="6.9571690279046612E-3"/>
                  <c:y val="-2.2225367896428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32-4BB4-AFB2-2B106EAF623F}"/>
                </c:ext>
              </c:extLst>
            </c:dLbl>
            <c:dLbl>
              <c:idx val="5"/>
              <c:layout>
                <c:manualLayout>
                  <c:x val="2.4554941682013503E-3"/>
                  <c:y val="-9.98751560549322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32-4BB4-AFB2-2B106EAF623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 po úpravě'!$A$99:$A$104</c:f>
              <c:strCache>
                <c:ptCount val="6"/>
                <c:pt idx="0">
                  <c:v>závislá č.</c:v>
                </c:pt>
                <c:pt idx="1">
                  <c:v>FO z přiznání</c:v>
                </c:pt>
                <c:pt idx="2">
                  <c:v>srážková</c:v>
                </c:pt>
                <c:pt idx="3">
                  <c:v>právnické o.</c:v>
                </c:pt>
                <c:pt idx="4">
                  <c:v>DPH</c:v>
                </c:pt>
                <c:pt idx="5">
                  <c:v>nemovitost</c:v>
                </c:pt>
              </c:strCache>
            </c:strRef>
          </c:cat>
          <c:val>
            <c:numRef>
              <c:f>'2020 po úpravě'!$M$99:$M$104</c:f>
              <c:numCache>
                <c:formatCode>#,##0</c:formatCode>
                <c:ptCount val="6"/>
                <c:pt idx="0">
                  <c:v>20816.155400000003</c:v>
                </c:pt>
                <c:pt idx="1">
                  <c:v>308.20670000000007</c:v>
                </c:pt>
                <c:pt idx="2">
                  <c:v>1881.0014100000001</c:v>
                </c:pt>
                <c:pt idx="3">
                  <c:v>14080.525249999999</c:v>
                </c:pt>
                <c:pt idx="4">
                  <c:v>38606.889729999995</c:v>
                </c:pt>
                <c:pt idx="5">
                  <c:v>4241.7784199999996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F32-4BB4-AFB2-2B106EAF6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404864"/>
        <c:axId val="106423040"/>
      </c:barChart>
      <c:catAx>
        <c:axId val="10640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064230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6423040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3.3149171270718231E-2"/>
              <c:y val="1.8726591760299626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  <a:effectLst>
            <a:outerShdw blurRad="50800" dist="50800" dir="5400000" sx="1000" sy="1000" algn="ctr" rotWithShape="0">
              <a:srgbClr val="000000"/>
            </a:outerShdw>
          </a:effectLst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06404864"/>
        <c:crosses val="autoZero"/>
        <c:crossBetween val="between"/>
        <c:majorUnit val="2000"/>
      </c:valAx>
      <c:spPr>
        <a:solidFill>
          <a:srgbClr val="FFFFC0"/>
        </a:solidFill>
        <a:ln w="12700">
          <a:solidFill>
            <a:srgbClr val="FFFFFF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35607352948284782"/>
          <c:y val="0.17533083645443195"/>
          <c:w val="0.28048626518370284"/>
          <c:h val="6.122130801065597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Daňové příjmy města v roce</a:t>
            </a:r>
            <a:r>
              <a:rPr lang="cs-CZ" baseline="0"/>
              <a:t> </a:t>
            </a:r>
            <a:r>
              <a:rPr lang="cs-CZ"/>
              <a:t>2017,2018,2019,2020</a:t>
            </a:r>
          </a:p>
        </c:rich>
      </c:tx>
      <c:layout>
        <c:manualLayout>
          <c:xMode val="edge"/>
          <c:yMode val="edge"/>
          <c:x val="0.14854464047609023"/>
          <c:y val="4.79452054794520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686301815782741"/>
          <c:y val="0.11643855087246975"/>
          <c:w val="0.67558049865700665"/>
          <c:h val="0.72260394806150352"/>
        </c:manualLayout>
      </c:layout>
      <c:barChart>
        <c:barDir val="col"/>
        <c:grouping val="clustered"/>
        <c:varyColors val="0"/>
        <c:ser>
          <c:idx val="0"/>
          <c:order val="0"/>
          <c:tx>
            <c:v>rok 2017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úpravě'!$B$77:$M$77</c:f>
              <c:numCache>
                <c:formatCode>#,##0</c:formatCode>
                <c:ptCount val="12"/>
                <c:pt idx="0">
                  <c:v>4862.5426100000004</c:v>
                </c:pt>
                <c:pt idx="1">
                  <c:v>10157.513629999999</c:v>
                </c:pt>
                <c:pt idx="2">
                  <c:v>15749.96415</c:v>
                </c:pt>
                <c:pt idx="3">
                  <c:v>19639.640430000003</c:v>
                </c:pt>
                <c:pt idx="4">
                  <c:v>24593.052940000005</c:v>
                </c:pt>
                <c:pt idx="5">
                  <c:v>33829.251690000005</c:v>
                </c:pt>
                <c:pt idx="6">
                  <c:v>41283.446300000003</c:v>
                </c:pt>
                <c:pt idx="7">
                  <c:v>46408.732550000001</c:v>
                </c:pt>
                <c:pt idx="8">
                  <c:v>51744.632880000012</c:v>
                </c:pt>
                <c:pt idx="9">
                  <c:v>56703.487190000007</c:v>
                </c:pt>
                <c:pt idx="10">
                  <c:v>62079.63192</c:v>
                </c:pt>
                <c:pt idx="11">
                  <c:v>70932.667530000006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9D-4C04-B651-576054AAC779}"/>
            </c:ext>
          </c:extLst>
        </c:ser>
        <c:ser>
          <c:idx val="3"/>
          <c:order val="1"/>
          <c:tx>
            <c:v>rok 2018</c:v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úpravě'!$B$58:$M$58</c:f>
              <c:numCache>
                <c:formatCode>#,##0</c:formatCode>
                <c:ptCount val="12"/>
                <c:pt idx="0">
                  <c:v>5317.8977600000007</c:v>
                </c:pt>
                <c:pt idx="1">
                  <c:v>11571.81791</c:v>
                </c:pt>
                <c:pt idx="2">
                  <c:v>17994.357050000002</c:v>
                </c:pt>
                <c:pt idx="3">
                  <c:v>22506.044735300002</c:v>
                </c:pt>
                <c:pt idx="4">
                  <c:v>27907.753005300001</c:v>
                </c:pt>
                <c:pt idx="5">
                  <c:v>38173.439065300008</c:v>
                </c:pt>
                <c:pt idx="6">
                  <c:v>46292.678065300002</c:v>
                </c:pt>
                <c:pt idx="7">
                  <c:v>52407.222165300002</c:v>
                </c:pt>
                <c:pt idx="8">
                  <c:v>57560.3925953</c:v>
                </c:pt>
                <c:pt idx="9">
                  <c:v>63654.405995299996</c:v>
                </c:pt>
                <c:pt idx="10">
                  <c:v>69832.617135299995</c:v>
                </c:pt>
                <c:pt idx="11">
                  <c:v>79177.601145299996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9D-4C04-B651-576054AAC779}"/>
            </c:ext>
          </c:extLst>
        </c:ser>
        <c:ser>
          <c:idx val="1"/>
          <c:order val="2"/>
          <c:tx>
            <c:v>rok 2019</c:v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úpravě'!$B$30:$M$30</c:f>
              <c:numCache>
                <c:formatCode>#,##0</c:formatCode>
                <c:ptCount val="12"/>
                <c:pt idx="0">
                  <c:v>6694.3017600000012</c:v>
                </c:pt>
                <c:pt idx="1">
                  <c:v>12907.686229999999</c:v>
                </c:pt>
                <c:pt idx="2">
                  <c:v>19449.524950000003</c:v>
                </c:pt>
                <c:pt idx="3">
                  <c:v>24426.233899999999</c:v>
                </c:pt>
                <c:pt idx="4">
                  <c:v>30391.776540000003</c:v>
                </c:pt>
                <c:pt idx="5">
                  <c:v>40502.112709999994</c:v>
                </c:pt>
                <c:pt idx="6">
                  <c:v>49760.699239999994</c:v>
                </c:pt>
                <c:pt idx="7">
                  <c:v>55981.619139999995</c:v>
                </c:pt>
                <c:pt idx="8">
                  <c:v>62031.395430000004</c:v>
                </c:pt>
                <c:pt idx="9">
                  <c:v>68200.022239999991</c:v>
                </c:pt>
                <c:pt idx="10">
                  <c:v>74666.135039999994</c:v>
                </c:pt>
                <c:pt idx="11">
                  <c:v>84835.359699999986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9D-4C04-B651-576054AAC779}"/>
            </c:ext>
          </c:extLst>
        </c:ser>
        <c:ser>
          <c:idx val="2"/>
          <c:order val="3"/>
          <c:tx>
            <c:v>rok 2020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úpravě'!$B$11:$M$11</c:f>
              <c:numCache>
                <c:formatCode>#,##0</c:formatCode>
                <c:ptCount val="12"/>
                <c:pt idx="0">
                  <c:v>6121.0321700000004</c:v>
                </c:pt>
                <c:pt idx="1">
                  <c:v>12660.82591</c:v>
                </c:pt>
                <c:pt idx="2">
                  <c:v>19928.524890000001</c:v>
                </c:pt>
                <c:pt idx="3">
                  <c:v>24387.237639999999</c:v>
                </c:pt>
                <c:pt idx="4">
                  <c:v>28085.610529999998</c:v>
                </c:pt>
                <c:pt idx="5">
                  <c:v>35562.76627</c:v>
                </c:pt>
                <c:pt idx="6">
                  <c:v>43040.93146</c:v>
                </c:pt>
                <c:pt idx="7">
                  <c:v>49277.502290000004</c:v>
                </c:pt>
                <c:pt idx="8">
                  <c:v>57255.206739999994</c:v>
                </c:pt>
                <c:pt idx="9">
                  <c:v>63191.507780000007</c:v>
                </c:pt>
                <c:pt idx="10">
                  <c:v>69857.382410000006</c:v>
                </c:pt>
                <c:pt idx="11">
                  <c:v>79934.556909999999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9D-4C04-B651-576054AAC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8751616"/>
        <c:axId val="98753536"/>
      </c:barChart>
      <c:catAx>
        <c:axId val="98751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měsíc</a:t>
                </a:r>
              </a:p>
            </c:rich>
          </c:tx>
          <c:layout>
            <c:manualLayout>
              <c:xMode val="edge"/>
              <c:yMode val="edge"/>
              <c:x val="0.49019701414328559"/>
              <c:y val="0.9109603422859813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987535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8753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3.7433155080213901E-2"/>
              <c:y val="0.407534965663538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98751616"/>
        <c:crosses val="autoZero"/>
        <c:crossBetween val="between"/>
        <c:majorUnit val="10000"/>
        <c:minorUnit val="50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184938781048079"/>
          <c:y val="0.11643907525257972"/>
          <c:w val="0.16577577535428389"/>
          <c:h val="0.2260277568043720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cs-CZ" sz="1000" b="1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Rozdíly daňových příjmů  v roce 2020 proti roku 2019</a:t>
            </a:r>
          </a:p>
        </c:rich>
      </c:tx>
      <c:layout>
        <c:manualLayout>
          <c:xMode val="edge"/>
          <c:yMode val="edge"/>
          <c:x val="0.12432451348986781"/>
          <c:y val="1.87969924812030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7028918682462"/>
          <c:y val="0.14661654135338345"/>
          <c:w val="0.8180194573822096"/>
          <c:h val="0.695488721804511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'2020 po úpravě'!$A$42</c:f>
              <c:strCache>
                <c:ptCount val="1"/>
                <c:pt idx="0">
                  <c:v>měsíční přebytek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úpravě'!$B$42:$M$42</c:f>
              <c:numCache>
                <c:formatCode>#,##0</c:formatCode>
                <c:ptCount val="12"/>
                <c:pt idx="0">
                  <c:v>-573.26959000000079</c:v>
                </c:pt>
                <c:pt idx="1">
                  <c:v>326.40927000000102</c:v>
                </c:pt>
                <c:pt idx="2">
                  <c:v>725.86025999999856</c:v>
                </c:pt>
                <c:pt idx="3">
                  <c:v>-517.99619999999959</c:v>
                </c:pt>
                <c:pt idx="4">
                  <c:v>-2267.1697499999982</c:v>
                </c:pt>
                <c:pt idx="5">
                  <c:v>-2633.1804299999967</c:v>
                </c:pt>
                <c:pt idx="6">
                  <c:v>-1780.4213400000026</c:v>
                </c:pt>
                <c:pt idx="7">
                  <c:v>15.65092999999797</c:v>
                </c:pt>
                <c:pt idx="8">
                  <c:v>1927.9281599999977</c:v>
                </c:pt>
                <c:pt idx="9">
                  <c:v>-232.32576999999674</c:v>
                </c:pt>
                <c:pt idx="10">
                  <c:v>199.76183000000128</c:v>
                </c:pt>
                <c:pt idx="11">
                  <c:v>-92.050159999997049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4-4F4D-B530-B7017DBB9529}"/>
            </c:ext>
          </c:extLst>
        </c:ser>
        <c:ser>
          <c:idx val="1"/>
          <c:order val="1"/>
          <c:tx>
            <c:strRef>
              <c:f>'2020 po úpravě'!$A$43</c:f>
              <c:strCache>
                <c:ptCount val="1"/>
                <c:pt idx="0">
                  <c:v>roční přebytek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4314335277880072E-2"/>
                  <c:y val="-7.65575355712106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64-4F4D-B530-B7017DBB9529}"/>
                </c:ext>
              </c:extLst>
            </c:dLbl>
            <c:dLbl>
              <c:idx val="3"/>
              <c:layout>
                <c:manualLayout>
                  <c:x val="1.931724185120438E-2"/>
                  <c:y val="-3.19981054999704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64-4F4D-B530-B7017DBB9529}"/>
                </c:ext>
              </c:extLst>
            </c:dLbl>
            <c:dLbl>
              <c:idx val="6"/>
              <c:layout>
                <c:manualLayout>
                  <c:x val="8.806591319434471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64-4F4D-B530-B7017DBB9529}"/>
                </c:ext>
              </c:extLst>
            </c:dLbl>
            <c:dLbl>
              <c:idx val="7"/>
              <c:layout>
                <c:manualLayout>
                  <c:x val="-1.7039123208650296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64-4F4D-B530-B7017DBB9529}"/>
                </c:ext>
              </c:extLst>
            </c:dLbl>
            <c:dLbl>
              <c:idx val="9"/>
              <c:layout>
                <c:manualLayout>
                  <c:x val="2.500390153933549E-3"/>
                  <c:y val="-3.50798255481222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64-4F4D-B530-B7017DBB9529}"/>
                </c:ext>
              </c:extLst>
            </c:dLbl>
            <c:dLbl>
              <c:idx val="10"/>
              <c:layout>
                <c:manualLayout>
                  <c:x val="-8.0300773214159041E-4"/>
                  <c:y val="6.51629072681704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64-4F4D-B530-B7017DBB9529}"/>
                </c:ext>
              </c:extLst>
            </c:dLbl>
            <c:dLbl>
              <c:idx val="11"/>
              <c:layout>
                <c:manualLayout>
                  <c:x val="3.1010023953318374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64-4F4D-B530-B7017DBB9529}"/>
                </c:ext>
              </c:extLst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'2020 po úpravě'!$B$43:$M$43</c:f>
              <c:numCache>
                <c:formatCode>#,##0</c:formatCode>
                <c:ptCount val="12"/>
                <c:pt idx="0">
                  <c:v>-573.26959000000079</c:v>
                </c:pt>
                <c:pt idx="1">
                  <c:v>-246.86031999999977</c:v>
                </c:pt>
                <c:pt idx="2">
                  <c:v>478.99993999999788</c:v>
                </c:pt>
                <c:pt idx="3">
                  <c:v>-38.996259999999893</c:v>
                </c:pt>
                <c:pt idx="4">
                  <c:v>-2306.1660100000045</c:v>
                </c:pt>
                <c:pt idx="5">
                  <c:v>-4939.3464399999939</c:v>
                </c:pt>
                <c:pt idx="6">
                  <c:v>-6719.7677799999947</c:v>
                </c:pt>
                <c:pt idx="7">
                  <c:v>-6704.1168499999912</c:v>
                </c:pt>
                <c:pt idx="8">
                  <c:v>-4776.18869000001</c:v>
                </c:pt>
                <c:pt idx="9">
                  <c:v>-5008.514459999984</c:v>
                </c:pt>
                <c:pt idx="10">
                  <c:v>-4808.7526299999881</c:v>
                </c:pt>
                <c:pt idx="11">
                  <c:v>-4900.802789999987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64-4F4D-B530-B7017DBB95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5644672"/>
        <c:axId val="95654656"/>
      </c:barChart>
      <c:catAx>
        <c:axId val="956446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956546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5654656"/>
        <c:scaling>
          <c:orientation val="minMax"/>
          <c:min val="-800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9.0090090090090089E-3"/>
              <c:y val="0.4398496240601503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95644672"/>
        <c:crosses val="autoZero"/>
        <c:crossBetween val="between"/>
        <c:majorUnit val="10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28648705398311697"/>
          <c:y val="0.87092731829573933"/>
          <c:w val="0.53333427916105092"/>
          <c:h val="0.105263157894736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cs-CZ" sz="1000" b="1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Rozdíly daňových příjmů  v roce 2020 proti roku 2018
</a:t>
            </a:r>
          </a:p>
        </c:rich>
      </c:tx>
      <c:layout>
        <c:manualLayout>
          <c:xMode val="edge"/>
          <c:yMode val="edge"/>
          <c:x val="0.15742415918940364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90173658819511"/>
          <c:y val="0.16000052083502875"/>
          <c:w val="0.79427618574269909"/>
          <c:h val="0.69666893446918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'2020 po úpravě'!$A$46</c:f>
              <c:strCache>
                <c:ptCount val="1"/>
                <c:pt idx="0">
                  <c:v>měsíční přebytek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'2020 po úpravě'!$B$46:$M$46</c:f>
              <c:numCache>
                <c:formatCode>#,##0</c:formatCode>
                <c:ptCount val="12"/>
                <c:pt idx="0">
                  <c:v>803.13440999999966</c:v>
                </c:pt>
                <c:pt idx="1">
                  <c:v>285.87359000000015</c:v>
                </c:pt>
                <c:pt idx="2">
                  <c:v>845.15983999999935</c:v>
                </c:pt>
                <c:pt idx="3">
                  <c:v>-52.974935299999743</c:v>
                </c:pt>
                <c:pt idx="4">
                  <c:v>-1703.3353800000004</c:v>
                </c:pt>
                <c:pt idx="5">
                  <c:v>-2788.5303200000017</c:v>
                </c:pt>
                <c:pt idx="6">
                  <c:v>-641.07380999999805</c:v>
                </c:pt>
                <c:pt idx="7">
                  <c:v>122.0267300000005</c:v>
                </c:pt>
                <c:pt idx="8">
                  <c:v>2824.534020000001</c:v>
                </c:pt>
                <c:pt idx="9">
                  <c:v>-157.71235999999499</c:v>
                </c:pt>
                <c:pt idx="10">
                  <c:v>487.663489999999</c:v>
                </c:pt>
                <c:pt idx="11">
                  <c:v>732.19048999999359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B5-4027-BA2C-3652C2C28675}"/>
            </c:ext>
          </c:extLst>
        </c:ser>
        <c:ser>
          <c:idx val="1"/>
          <c:order val="1"/>
          <c:tx>
            <c:strRef>
              <c:f>'2020 po úpravě'!$A$47</c:f>
              <c:strCache>
                <c:ptCount val="1"/>
                <c:pt idx="0">
                  <c:v>roční přebytek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7889087656529517E-3"/>
                  <c:y val="-4.13998250218722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B5-4027-BA2C-3652C2C28675}"/>
                </c:ext>
              </c:extLst>
            </c:dLbl>
            <c:dLbl>
              <c:idx val="2"/>
              <c:layout>
                <c:manualLayout>
                  <c:x val="7.1556350626118068E-3"/>
                  <c:y val="4.44479440069991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B5-4027-BA2C-3652C2C28675}"/>
                </c:ext>
              </c:extLst>
            </c:dLbl>
            <c:dLbl>
              <c:idx val="3"/>
              <c:layout>
                <c:manualLayout>
                  <c:x val="0"/>
                  <c:y val="-3.50144279431678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B5-4027-BA2C-3652C2C28675}"/>
                </c:ext>
              </c:extLst>
            </c:dLbl>
            <c:dLbl>
              <c:idx val="4"/>
              <c:layout>
                <c:manualLayout>
                  <c:x val="1.9663910526389927E-4"/>
                  <c:y val="1.33018372703412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B5-4027-BA2C-3652C2C28675}"/>
                </c:ext>
              </c:extLst>
            </c:dLbl>
            <c:dLbl>
              <c:idx val="5"/>
              <c:layout>
                <c:manualLayout>
                  <c:x val="7.9486327424705596E-3"/>
                  <c:y val="1.91080946082362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B5-4027-BA2C-3652C2C28675}"/>
                </c:ext>
              </c:extLst>
            </c:dLbl>
            <c:dLbl>
              <c:idx val="10"/>
              <c:layout>
                <c:manualLayout>
                  <c:x val="-1.7491350313701886E-16"/>
                  <c:y val="-4.8888888888888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B5-4027-BA2C-3652C2C28675}"/>
                </c:ext>
              </c:extLst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'2020 po úpravě'!$B$47:$M$47</c:f>
              <c:numCache>
                <c:formatCode>#,##0</c:formatCode>
                <c:ptCount val="12"/>
                <c:pt idx="0">
                  <c:v>803.13440999999966</c:v>
                </c:pt>
                <c:pt idx="1">
                  <c:v>1089.0079999999998</c:v>
                </c:pt>
                <c:pt idx="2">
                  <c:v>1934.1678399999983</c:v>
                </c:pt>
                <c:pt idx="3">
                  <c:v>1881.1929046999976</c:v>
                </c:pt>
                <c:pt idx="4">
                  <c:v>177.85752469999716</c:v>
                </c:pt>
                <c:pt idx="5">
                  <c:v>-2610.6727953000081</c:v>
                </c:pt>
                <c:pt idx="6">
                  <c:v>-3251.7466053000026</c:v>
                </c:pt>
                <c:pt idx="7">
                  <c:v>-3129.7198752999975</c:v>
                </c:pt>
                <c:pt idx="8">
                  <c:v>-305.18585530000564</c:v>
                </c:pt>
                <c:pt idx="9">
                  <c:v>-462.89821529998881</c:v>
                </c:pt>
                <c:pt idx="10">
                  <c:v>24.765274700010195</c:v>
                </c:pt>
                <c:pt idx="11">
                  <c:v>756.95576470000378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1B5-4027-BA2C-3652C2C28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297152"/>
        <c:axId val="101303424"/>
      </c:barChart>
      <c:catAx>
        <c:axId val="101297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měsíc</a:t>
                </a:r>
              </a:p>
            </c:rich>
          </c:tx>
          <c:layout>
            <c:manualLayout>
              <c:xMode val="edge"/>
              <c:yMode val="edge"/>
              <c:x val="0.54025101066302306"/>
              <c:y val="0.8866694663167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01303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1303424"/>
        <c:scaling>
          <c:orientation val="minMax"/>
          <c:min val="-4000"/>
        </c:scaling>
        <c:delete val="0"/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1.0733452593917709E-2"/>
              <c:y val="0.4733347331583552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01297152"/>
        <c:crosses val="autoZero"/>
        <c:crossBetween val="between"/>
        <c:majorUnit val="2000"/>
        <c:minorUnit val="5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lang="cs-CZ"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31067401011367318"/>
          <c:y val="0.88778057742782157"/>
          <c:w val="0.5062615563036732"/>
          <c:h val="8.00003499562554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171009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1710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2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0.08777</cdr:y>
    </cdr:from>
    <cdr:to>
      <cdr:x>0.99081</cdr:x>
      <cdr:y>0.20751</cdr:y>
    </cdr:to>
    <cdr:sp macro="" textlink="" fLocksText="0">
      <cdr:nvSpPr>
        <cdr:cNvPr id="2049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3528"/>
          <a:ext cx="209812" cy="5052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0.49927</cdr:y>
    </cdr:from>
    <cdr:to>
      <cdr:x>0.52871</cdr:x>
      <cdr:y>0.54227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09869"/>
          <a:ext cx="148776" cy="1814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4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157697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15769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6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15126" y="370527"/>
          <a:ext cx="209418" cy="5041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94AF-6384-4BDF-8395-47E8038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Kynčlová Miroslava, Ing.</cp:lastModifiedBy>
  <cp:revision>4</cp:revision>
  <cp:lastPrinted>2020-02-13T10:06:00Z</cp:lastPrinted>
  <dcterms:created xsi:type="dcterms:W3CDTF">2021-02-08T15:35:00Z</dcterms:created>
  <dcterms:modified xsi:type="dcterms:W3CDTF">2021-02-10T08:47:00Z</dcterms:modified>
</cp:coreProperties>
</file>