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6C" w:rsidRPr="00FD24F5" w:rsidRDefault="008952BD" w:rsidP="00703CE1">
      <w:pPr>
        <w:pStyle w:val="Zkladntextodsazen"/>
        <w:ind w:firstLine="0"/>
        <w:jc w:val="both"/>
        <w:rPr>
          <w:b/>
          <w:i w:val="0"/>
          <w:sz w:val="21"/>
          <w:szCs w:val="21"/>
        </w:rPr>
      </w:pPr>
      <w:r w:rsidRPr="00FD24F5">
        <w:rPr>
          <w:b/>
          <w:i w:val="0"/>
          <w:sz w:val="21"/>
          <w:szCs w:val="21"/>
        </w:rPr>
        <w:t xml:space="preserve">1. </w:t>
      </w:r>
      <w:r w:rsidR="0086086C" w:rsidRPr="00FD24F5">
        <w:rPr>
          <w:b/>
          <w:i w:val="0"/>
          <w:sz w:val="21"/>
          <w:szCs w:val="21"/>
        </w:rPr>
        <w:t xml:space="preserve">Finance   </w:t>
      </w:r>
    </w:p>
    <w:p w:rsidR="000513BA" w:rsidRPr="00FD24F5" w:rsidRDefault="00933059" w:rsidP="00933059">
      <w:pPr>
        <w:pStyle w:val="Zkladntextodsazen"/>
        <w:numPr>
          <w:ilvl w:val="1"/>
          <w:numId w:val="5"/>
        </w:numPr>
        <w:jc w:val="both"/>
        <w:rPr>
          <w:b/>
          <w:i w:val="0"/>
          <w:sz w:val="21"/>
          <w:szCs w:val="21"/>
        </w:rPr>
      </w:pPr>
      <w:r w:rsidRPr="00FD24F5">
        <w:rPr>
          <w:b/>
          <w:i w:val="0"/>
          <w:sz w:val="21"/>
          <w:szCs w:val="21"/>
        </w:rPr>
        <w:t xml:space="preserve">Rozpočet města Jilemnice na rok </w:t>
      </w:r>
      <w:r w:rsidR="00103652" w:rsidRPr="00FD24F5">
        <w:rPr>
          <w:b/>
          <w:i w:val="0"/>
          <w:sz w:val="21"/>
          <w:szCs w:val="21"/>
        </w:rPr>
        <w:t>201</w:t>
      </w:r>
      <w:r w:rsidR="004A70D5" w:rsidRPr="00FD24F5">
        <w:rPr>
          <w:b/>
          <w:i w:val="0"/>
          <w:sz w:val="21"/>
          <w:szCs w:val="21"/>
        </w:rPr>
        <w:t>8</w:t>
      </w:r>
    </w:p>
    <w:p w:rsidR="002B1FA0" w:rsidRPr="00FD24F5" w:rsidRDefault="00103652" w:rsidP="002B1FA0">
      <w:pPr>
        <w:pStyle w:val="Zkladntextodsazen"/>
        <w:ind w:left="170" w:firstLine="312"/>
        <w:jc w:val="both"/>
        <w:rPr>
          <w:sz w:val="21"/>
          <w:szCs w:val="21"/>
        </w:rPr>
      </w:pPr>
      <w:r w:rsidRPr="00FD24F5">
        <w:rPr>
          <w:sz w:val="21"/>
          <w:szCs w:val="21"/>
        </w:rPr>
        <w:t>Návrh rozpočtu na rok 20</w:t>
      </w:r>
      <w:r w:rsidR="001B5229" w:rsidRPr="00FD24F5">
        <w:rPr>
          <w:sz w:val="21"/>
          <w:szCs w:val="21"/>
        </w:rPr>
        <w:t xml:space="preserve">18 </w:t>
      </w:r>
      <w:r w:rsidR="00ED41BA" w:rsidRPr="00FD24F5">
        <w:rPr>
          <w:sz w:val="21"/>
          <w:szCs w:val="21"/>
        </w:rPr>
        <w:t xml:space="preserve">vychází z výsledků hospodaření města Jilemnice z minulého roku </w:t>
      </w:r>
      <w:r w:rsidRPr="00FD24F5">
        <w:rPr>
          <w:sz w:val="21"/>
          <w:szCs w:val="21"/>
        </w:rPr>
        <w:t>201</w:t>
      </w:r>
      <w:r w:rsidR="004A70D5" w:rsidRPr="00FD24F5">
        <w:rPr>
          <w:sz w:val="21"/>
          <w:szCs w:val="21"/>
        </w:rPr>
        <w:t>7</w:t>
      </w:r>
      <w:r w:rsidRPr="00FD24F5">
        <w:rPr>
          <w:sz w:val="21"/>
          <w:szCs w:val="21"/>
        </w:rPr>
        <w:t xml:space="preserve"> </w:t>
      </w:r>
      <w:r w:rsidR="00ED41BA" w:rsidRPr="00FD24F5">
        <w:rPr>
          <w:sz w:val="21"/>
          <w:szCs w:val="21"/>
        </w:rPr>
        <w:t xml:space="preserve">a ze schváleného státního rozpočtu na rok </w:t>
      </w:r>
      <w:r w:rsidR="004A70D5" w:rsidRPr="00FD24F5">
        <w:rPr>
          <w:sz w:val="21"/>
          <w:szCs w:val="21"/>
        </w:rPr>
        <w:t>2018,</w:t>
      </w:r>
      <w:r w:rsidR="00ED41BA" w:rsidRPr="00FD24F5">
        <w:rPr>
          <w:sz w:val="21"/>
          <w:szCs w:val="21"/>
        </w:rPr>
        <w:t xml:space="preserve"> podle něhož jsou rozpočtovány daňové příjmy a dotace na výkon státní správy. Podrobný rozbor hospodaření města za rok 201</w:t>
      </w:r>
      <w:r w:rsidR="004A70D5" w:rsidRPr="00FD24F5">
        <w:rPr>
          <w:sz w:val="21"/>
          <w:szCs w:val="21"/>
        </w:rPr>
        <w:t>7</w:t>
      </w:r>
      <w:r w:rsidR="00ED41BA" w:rsidRPr="00FD24F5">
        <w:rPr>
          <w:sz w:val="21"/>
          <w:szCs w:val="21"/>
        </w:rPr>
        <w:t xml:space="preserve"> spolu s výsledky hospodaření </w:t>
      </w:r>
      <w:proofErr w:type="gramStart"/>
      <w:r w:rsidR="00ED41BA" w:rsidRPr="00FD24F5">
        <w:rPr>
          <w:sz w:val="21"/>
          <w:szCs w:val="21"/>
        </w:rPr>
        <w:t>PO</w:t>
      </w:r>
      <w:r w:rsidRPr="00FD24F5">
        <w:rPr>
          <w:sz w:val="21"/>
          <w:szCs w:val="21"/>
        </w:rPr>
        <w:t xml:space="preserve"> </w:t>
      </w:r>
      <w:r w:rsidR="00ED41BA" w:rsidRPr="00FD24F5">
        <w:rPr>
          <w:sz w:val="21"/>
          <w:szCs w:val="21"/>
        </w:rPr>
        <w:t xml:space="preserve"> bude</w:t>
      </w:r>
      <w:proofErr w:type="gramEnd"/>
      <w:r w:rsidR="00ED41BA" w:rsidRPr="00FD24F5">
        <w:rPr>
          <w:sz w:val="21"/>
          <w:szCs w:val="21"/>
        </w:rPr>
        <w:t xml:space="preserve"> součástí schvalování závěrečného účtu roku </w:t>
      </w:r>
      <w:r w:rsidRPr="00FD24F5">
        <w:rPr>
          <w:sz w:val="21"/>
          <w:szCs w:val="21"/>
        </w:rPr>
        <w:t>201</w:t>
      </w:r>
      <w:r w:rsidR="004A70D5" w:rsidRPr="00FD24F5">
        <w:rPr>
          <w:sz w:val="21"/>
          <w:szCs w:val="21"/>
        </w:rPr>
        <w:t>7</w:t>
      </w:r>
      <w:r w:rsidRPr="00FD24F5">
        <w:rPr>
          <w:sz w:val="21"/>
          <w:szCs w:val="21"/>
        </w:rPr>
        <w:t xml:space="preserve">. </w:t>
      </w:r>
      <w:r w:rsidR="00ED41BA" w:rsidRPr="00FD24F5">
        <w:rPr>
          <w:sz w:val="21"/>
          <w:szCs w:val="21"/>
        </w:rPr>
        <w:t xml:space="preserve"> Za rok 201</w:t>
      </w:r>
      <w:r w:rsidR="004A70D5" w:rsidRPr="00FD24F5">
        <w:rPr>
          <w:sz w:val="21"/>
          <w:szCs w:val="21"/>
        </w:rPr>
        <w:t>7</w:t>
      </w:r>
      <w:r w:rsidR="00ED41BA" w:rsidRPr="00FD24F5">
        <w:rPr>
          <w:sz w:val="21"/>
          <w:szCs w:val="21"/>
        </w:rPr>
        <w:t xml:space="preserve"> byl vyhodnocen přebytek hospodaření ve výši </w:t>
      </w:r>
      <w:r w:rsidR="004A70D5" w:rsidRPr="00FD24F5">
        <w:rPr>
          <w:sz w:val="21"/>
          <w:szCs w:val="21"/>
        </w:rPr>
        <w:t>57.116</w:t>
      </w:r>
      <w:r w:rsidR="00ED41BA" w:rsidRPr="00FD24F5">
        <w:rPr>
          <w:sz w:val="21"/>
          <w:szCs w:val="21"/>
        </w:rPr>
        <w:t xml:space="preserve"> tis. Kč, který je celý zapojen do rozpočtu </w:t>
      </w:r>
      <w:r w:rsidR="000756FE" w:rsidRPr="00FD24F5">
        <w:rPr>
          <w:sz w:val="21"/>
          <w:szCs w:val="21"/>
        </w:rPr>
        <w:t>roku</w:t>
      </w:r>
      <w:r w:rsidR="00ED41BA" w:rsidRPr="00FD24F5">
        <w:rPr>
          <w:sz w:val="21"/>
          <w:szCs w:val="21"/>
        </w:rPr>
        <w:t xml:space="preserve"> 201</w:t>
      </w:r>
      <w:r w:rsidR="004A70D5" w:rsidRPr="00FD24F5">
        <w:rPr>
          <w:sz w:val="21"/>
          <w:szCs w:val="21"/>
        </w:rPr>
        <w:t>8</w:t>
      </w:r>
      <w:r w:rsidR="00ED41BA" w:rsidRPr="00FD24F5">
        <w:rPr>
          <w:sz w:val="21"/>
          <w:szCs w:val="21"/>
        </w:rPr>
        <w:t>. Podrobné členění přehledu hospodaření za rok 201</w:t>
      </w:r>
      <w:r w:rsidR="004A70D5" w:rsidRPr="00FD24F5">
        <w:rPr>
          <w:sz w:val="21"/>
          <w:szCs w:val="21"/>
        </w:rPr>
        <w:t>7</w:t>
      </w:r>
      <w:r w:rsidR="00ED41BA" w:rsidRPr="00FD24F5">
        <w:rPr>
          <w:sz w:val="21"/>
          <w:szCs w:val="21"/>
        </w:rPr>
        <w:t>a návrhu rozpočtu na rok 201</w:t>
      </w:r>
      <w:r w:rsidR="004A70D5" w:rsidRPr="00FD24F5">
        <w:rPr>
          <w:sz w:val="21"/>
          <w:szCs w:val="21"/>
        </w:rPr>
        <w:t>8</w:t>
      </w:r>
      <w:r w:rsidR="00ED41BA" w:rsidRPr="00FD24F5">
        <w:rPr>
          <w:sz w:val="21"/>
          <w:szCs w:val="21"/>
        </w:rPr>
        <w:t xml:space="preserve"> spolu s dalšími doplňujícími informacemi je v příloze</w:t>
      </w:r>
      <w:r w:rsidR="003A0920" w:rsidRPr="00FD24F5">
        <w:rPr>
          <w:sz w:val="21"/>
          <w:szCs w:val="21"/>
        </w:rPr>
        <w:t xml:space="preserve"> </w:t>
      </w:r>
      <w:r w:rsidR="003A0920" w:rsidRPr="00FD24F5">
        <w:rPr>
          <w:sz w:val="21"/>
          <w:szCs w:val="21"/>
          <w:highlight w:val="yellow"/>
        </w:rPr>
        <w:t>č.1a,1b</w:t>
      </w:r>
    </w:p>
    <w:p w:rsidR="00BF7826" w:rsidRPr="00FD24F5" w:rsidRDefault="00BF7826" w:rsidP="00BF7826">
      <w:pPr>
        <w:ind w:left="170" w:firstLine="311"/>
        <w:jc w:val="both"/>
        <w:rPr>
          <w:b/>
          <w:i/>
          <w:sz w:val="21"/>
          <w:szCs w:val="21"/>
        </w:rPr>
      </w:pPr>
      <w:r w:rsidRPr="00FD24F5">
        <w:rPr>
          <w:b/>
          <w:i/>
          <w:sz w:val="21"/>
          <w:szCs w:val="21"/>
        </w:rPr>
        <w:t>K rozpočtu běžných příjmů 2018</w:t>
      </w:r>
      <w:r w:rsidRPr="00FD24F5">
        <w:rPr>
          <w:i/>
          <w:sz w:val="21"/>
          <w:szCs w:val="21"/>
        </w:rPr>
        <w:t xml:space="preserve">: Příjem ze sdílených daní, který je počítán podle počtu obyvatel s trvalým pobytem v Jilemnici (5470 občanů) a daně z nemovitých věcí je plánován ve výši 75.500 tis. Kč, což je o 5,7% více, než byla skutečnost v roce 2017. Proti rozpočtu 2017 se jedná o navýšení 17,2%, které je možné i díky novely zákona o </w:t>
      </w:r>
      <w:proofErr w:type="gramStart"/>
      <w:r w:rsidRPr="00FD24F5">
        <w:rPr>
          <w:i/>
          <w:sz w:val="21"/>
          <w:szCs w:val="21"/>
        </w:rPr>
        <w:t>RUD</w:t>
      </w:r>
      <w:proofErr w:type="gramEnd"/>
      <w:r w:rsidRPr="00FD24F5">
        <w:rPr>
          <w:i/>
          <w:sz w:val="21"/>
          <w:szCs w:val="21"/>
        </w:rPr>
        <w:t>. Správní poplatky jsou rozpočtovány v částce 4.582 tis. Kč (91% rozpočtu 2017), místní poplatky v  částce 3.343 tis. Kč (99% rozpočtu 2017), daň z hazardních her počítá s částkou 5.000 tis. Kč, tj. 111% rozpočtu 2017.  Ostatní běžné příjmy jsou rozpočtovány dle uzavřených smluv, či skutečnosti minulého roku, celkem v částce 27.406 tis. Kč (108% rozpočtu 2017).</w:t>
      </w:r>
      <w:r w:rsidRPr="00FD24F5">
        <w:rPr>
          <w:b/>
          <w:i/>
          <w:sz w:val="21"/>
          <w:szCs w:val="21"/>
        </w:rPr>
        <w:t xml:space="preserve"> </w:t>
      </w:r>
    </w:p>
    <w:p w:rsidR="00DB7FC4" w:rsidRPr="00FD24F5" w:rsidRDefault="00DB7FC4" w:rsidP="00ED41BA">
      <w:pPr>
        <w:ind w:left="170" w:firstLine="311"/>
        <w:jc w:val="both"/>
        <w:rPr>
          <w:i/>
          <w:sz w:val="21"/>
          <w:szCs w:val="21"/>
        </w:rPr>
      </w:pPr>
      <w:r w:rsidRPr="00FD24F5">
        <w:rPr>
          <w:b/>
          <w:i/>
          <w:sz w:val="21"/>
          <w:szCs w:val="21"/>
        </w:rPr>
        <w:t>K rozpočtu kapitálových příjmů 201</w:t>
      </w:r>
      <w:r w:rsidR="004A70D5" w:rsidRPr="00FD24F5">
        <w:rPr>
          <w:b/>
          <w:i/>
          <w:sz w:val="21"/>
          <w:szCs w:val="21"/>
        </w:rPr>
        <w:t>8</w:t>
      </w:r>
      <w:r w:rsidRPr="00FD24F5">
        <w:rPr>
          <w:i/>
          <w:sz w:val="21"/>
          <w:szCs w:val="21"/>
        </w:rPr>
        <w:t xml:space="preserve">: Kapitálové příjmy jsou rozpočtovány </w:t>
      </w:r>
      <w:r w:rsidR="007653F2" w:rsidRPr="00FD24F5">
        <w:rPr>
          <w:i/>
          <w:sz w:val="21"/>
          <w:szCs w:val="21"/>
        </w:rPr>
        <w:t xml:space="preserve">v částce </w:t>
      </w:r>
      <w:r w:rsidR="004A70D5" w:rsidRPr="00FD24F5">
        <w:rPr>
          <w:i/>
          <w:sz w:val="21"/>
          <w:szCs w:val="21"/>
        </w:rPr>
        <w:t>8.150 tis. Kč. Zde je počítáno s privatizací bytů čp. 1000-1001, prodeji pozemků v lokalitě Nouzov</w:t>
      </w:r>
      <w:r w:rsidR="007653F2" w:rsidRPr="00FD24F5">
        <w:rPr>
          <w:i/>
          <w:sz w:val="21"/>
          <w:szCs w:val="21"/>
        </w:rPr>
        <w:t>,</w:t>
      </w:r>
      <w:r w:rsidRPr="00FD24F5">
        <w:rPr>
          <w:i/>
          <w:sz w:val="21"/>
          <w:szCs w:val="21"/>
        </w:rPr>
        <w:t xml:space="preserve"> splátk</w:t>
      </w:r>
      <w:r w:rsidR="007653F2" w:rsidRPr="00FD24F5">
        <w:rPr>
          <w:i/>
          <w:sz w:val="21"/>
          <w:szCs w:val="21"/>
        </w:rPr>
        <w:t xml:space="preserve">ami </w:t>
      </w:r>
      <w:r w:rsidRPr="00FD24F5">
        <w:rPr>
          <w:i/>
          <w:sz w:val="21"/>
          <w:szCs w:val="21"/>
        </w:rPr>
        <w:t>budoucí</w:t>
      </w:r>
      <w:r w:rsidR="000756FE" w:rsidRPr="00FD24F5">
        <w:rPr>
          <w:i/>
          <w:sz w:val="21"/>
          <w:szCs w:val="21"/>
        </w:rPr>
        <w:t>ch</w:t>
      </w:r>
      <w:r w:rsidRPr="00FD24F5">
        <w:rPr>
          <w:i/>
          <w:sz w:val="21"/>
          <w:szCs w:val="21"/>
        </w:rPr>
        <w:t xml:space="preserve"> kupní</w:t>
      </w:r>
      <w:r w:rsidR="000756FE" w:rsidRPr="00FD24F5">
        <w:rPr>
          <w:i/>
          <w:sz w:val="21"/>
          <w:szCs w:val="21"/>
        </w:rPr>
        <w:t>ch</w:t>
      </w:r>
      <w:r w:rsidRPr="00FD24F5">
        <w:rPr>
          <w:i/>
          <w:sz w:val="21"/>
          <w:szCs w:val="21"/>
        </w:rPr>
        <w:t xml:space="preserve"> cen</w:t>
      </w:r>
      <w:r w:rsidR="000756FE" w:rsidRPr="00FD24F5">
        <w:rPr>
          <w:i/>
          <w:sz w:val="21"/>
          <w:szCs w:val="21"/>
        </w:rPr>
        <w:t xml:space="preserve"> bytů</w:t>
      </w:r>
      <w:r w:rsidRPr="00FD24F5">
        <w:rPr>
          <w:i/>
          <w:sz w:val="21"/>
          <w:szCs w:val="21"/>
        </w:rPr>
        <w:t xml:space="preserve"> u akce „32bj. Roztocká“</w:t>
      </w:r>
      <w:r w:rsidR="007653F2" w:rsidRPr="00FD24F5">
        <w:rPr>
          <w:i/>
          <w:sz w:val="21"/>
          <w:szCs w:val="21"/>
        </w:rPr>
        <w:t xml:space="preserve"> a prodejem požární cisterny</w:t>
      </w:r>
      <w:r w:rsidRPr="00FD24F5">
        <w:rPr>
          <w:i/>
          <w:sz w:val="21"/>
          <w:szCs w:val="21"/>
        </w:rPr>
        <w:t xml:space="preserve">.  </w:t>
      </w:r>
    </w:p>
    <w:p w:rsidR="00ED41BA" w:rsidRPr="00FD24F5" w:rsidRDefault="00ED41BA" w:rsidP="00ED41BA">
      <w:pPr>
        <w:ind w:left="180" w:firstLine="301"/>
        <w:jc w:val="both"/>
        <w:rPr>
          <w:i/>
          <w:sz w:val="21"/>
          <w:szCs w:val="21"/>
        </w:rPr>
      </w:pPr>
      <w:r w:rsidRPr="00FD24F5">
        <w:rPr>
          <w:b/>
          <w:i/>
          <w:sz w:val="21"/>
          <w:szCs w:val="21"/>
        </w:rPr>
        <w:t>K rozpočtu dotací 201</w:t>
      </w:r>
      <w:r w:rsidR="007653F2" w:rsidRPr="00FD24F5">
        <w:rPr>
          <w:b/>
          <w:i/>
          <w:sz w:val="21"/>
          <w:szCs w:val="21"/>
        </w:rPr>
        <w:t>8</w:t>
      </w:r>
      <w:r w:rsidRPr="00FD24F5">
        <w:rPr>
          <w:b/>
          <w:i/>
          <w:sz w:val="21"/>
          <w:szCs w:val="21"/>
        </w:rPr>
        <w:t>:</w:t>
      </w:r>
      <w:r w:rsidRPr="00FD24F5">
        <w:rPr>
          <w:i/>
          <w:sz w:val="21"/>
          <w:szCs w:val="21"/>
        </w:rPr>
        <w:t xml:space="preserve">  Běžné rozpočtované dotace jsou v částce </w:t>
      </w:r>
      <w:r w:rsidR="007653F2" w:rsidRPr="00FD24F5">
        <w:rPr>
          <w:i/>
          <w:sz w:val="21"/>
          <w:szCs w:val="21"/>
        </w:rPr>
        <w:t>27.</w:t>
      </w:r>
      <w:r w:rsidR="00AB5BBF" w:rsidRPr="00FD24F5">
        <w:rPr>
          <w:i/>
          <w:sz w:val="21"/>
          <w:szCs w:val="21"/>
        </w:rPr>
        <w:t>9</w:t>
      </w:r>
      <w:r w:rsidR="007653F2" w:rsidRPr="00FD24F5">
        <w:rPr>
          <w:i/>
          <w:sz w:val="21"/>
          <w:szCs w:val="21"/>
        </w:rPr>
        <w:t>10</w:t>
      </w:r>
      <w:r w:rsidRPr="00FD24F5">
        <w:rPr>
          <w:i/>
          <w:sz w:val="21"/>
          <w:szCs w:val="21"/>
        </w:rPr>
        <w:t xml:space="preserve"> tis. Kč</w:t>
      </w:r>
      <w:r w:rsidR="009E7E72" w:rsidRPr="00FD24F5">
        <w:rPr>
          <w:i/>
          <w:sz w:val="21"/>
          <w:szCs w:val="21"/>
        </w:rPr>
        <w:t xml:space="preserve"> (</w:t>
      </w:r>
      <w:r w:rsidR="007653F2" w:rsidRPr="00FD24F5">
        <w:rPr>
          <w:i/>
          <w:sz w:val="21"/>
          <w:szCs w:val="21"/>
        </w:rPr>
        <w:t>110</w:t>
      </w:r>
      <w:r w:rsidR="009E7E72" w:rsidRPr="00FD24F5">
        <w:rPr>
          <w:i/>
          <w:sz w:val="21"/>
          <w:szCs w:val="21"/>
        </w:rPr>
        <w:t xml:space="preserve">% rozpočtu </w:t>
      </w:r>
      <w:proofErr w:type="gramStart"/>
      <w:r w:rsidR="009E7E72" w:rsidRPr="00FD24F5">
        <w:rPr>
          <w:i/>
          <w:sz w:val="21"/>
          <w:szCs w:val="21"/>
        </w:rPr>
        <w:t>r.201</w:t>
      </w:r>
      <w:r w:rsidR="007653F2" w:rsidRPr="00FD24F5">
        <w:rPr>
          <w:i/>
          <w:sz w:val="21"/>
          <w:szCs w:val="21"/>
        </w:rPr>
        <w:t>7</w:t>
      </w:r>
      <w:proofErr w:type="gramEnd"/>
      <w:r w:rsidR="009E7E72" w:rsidRPr="00FD24F5">
        <w:rPr>
          <w:i/>
          <w:sz w:val="21"/>
          <w:szCs w:val="21"/>
        </w:rPr>
        <w:t>)</w:t>
      </w:r>
      <w:r w:rsidRPr="00FD24F5">
        <w:rPr>
          <w:i/>
          <w:sz w:val="21"/>
          <w:szCs w:val="21"/>
        </w:rPr>
        <w:t xml:space="preserve">, z toho dotace na výkon státní správy činí </w:t>
      </w:r>
      <w:r w:rsidR="007653F2" w:rsidRPr="00FD24F5">
        <w:rPr>
          <w:i/>
          <w:sz w:val="21"/>
          <w:szCs w:val="21"/>
        </w:rPr>
        <w:t>21.041</w:t>
      </w:r>
      <w:r w:rsidRPr="00FD24F5">
        <w:rPr>
          <w:i/>
          <w:sz w:val="21"/>
          <w:szCs w:val="21"/>
        </w:rPr>
        <w:t xml:space="preserve"> tis. Kč, včetně účelové dotace na sociálně právní ochranu dětí a sociální práci pro sociální odbor. Z dotací na projekty </w:t>
      </w:r>
      <w:r w:rsidR="007653F2" w:rsidRPr="00FD24F5">
        <w:rPr>
          <w:i/>
          <w:sz w:val="21"/>
          <w:szCs w:val="21"/>
        </w:rPr>
        <w:t xml:space="preserve">pokračují </w:t>
      </w:r>
      <w:r w:rsidR="009E7E72" w:rsidRPr="00FD24F5">
        <w:rPr>
          <w:i/>
          <w:sz w:val="21"/>
          <w:szCs w:val="21"/>
        </w:rPr>
        <w:t>dva projekty a to „Rozvoj MA 21 v Jilemnici“</w:t>
      </w:r>
      <w:r w:rsidR="00D41DA0" w:rsidRPr="00FD24F5">
        <w:rPr>
          <w:i/>
          <w:sz w:val="21"/>
          <w:szCs w:val="21"/>
        </w:rPr>
        <w:t>(</w:t>
      </w:r>
      <w:r w:rsidR="007653F2" w:rsidRPr="00FD24F5">
        <w:rPr>
          <w:i/>
          <w:sz w:val="21"/>
          <w:szCs w:val="21"/>
        </w:rPr>
        <w:t>860</w:t>
      </w:r>
      <w:r w:rsidR="00D41DA0" w:rsidRPr="00FD24F5">
        <w:rPr>
          <w:i/>
          <w:sz w:val="21"/>
          <w:szCs w:val="21"/>
        </w:rPr>
        <w:t xml:space="preserve"> tis.</w:t>
      </w:r>
      <w:r w:rsidR="000756FE" w:rsidRPr="00FD24F5">
        <w:rPr>
          <w:i/>
          <w:sz w:val="21"/>
          <w:szCs w:val="21"/>
        </w:rPr>
        <w:t xml:space="preserve"> </w:t>
      </w:r>
      <w:r w:rsidR="00D41DA0" w:rsidRPr="00FD24F5">
        <w:rPr>
          <w:i/>
          <w:sz w:val="21"/>
          <w:szCs w:val="21"/>
        </w:rPr>
        <w:t xml:space="preserve">Kč) a </w:t>
      </w:r>
      <w:r w:rsidR="009E7E72" w:rsidRPr="00FD24F5">
        <w:rPr>
          <w:i/>
          <w:sz w:val="21"/>
          <w:szCs w:val="21"/>
        </w:rPr>
        <w:t>projekt „Podpora sociální práce v Jilemnici“</w:t>
      </w:r>
      <w:r w:rsidR="00D41DA0" w:rsidRPr="00FD24F5">
        <w:rPr>
          <w:i/>
          <w:sz w:val="21"/>
          <w:szCs w:val="21"/>
        </w:rPr>
        <w:t>(</w:t>
      </w:r>
      <w:r w:rsidR="007653F2" w:rsidRPr="00FD24F5">
        <w:rPr>
          <w:i/>
          <w:sz w:val="21"/>
          <w:szCs w:val="21"/>
        </w:rPr>
        <w:t>879</w:t>
      </w:r>
      <w:r w:rsidR="00D41DA0" w:rsidRPr="00FD24F5">
        <w:rPr>
          <w:i/>
          <w:sz w:val="21"/>
          <w:szCs w:val="21"/>
        </w:rPr>
        <w:t xml:space="preserve"> tis. Kč)</w:t>
      </w:r>
      <w:r w:rsidR="009E7E72" w:rsidRPr="00FD24F5">
        <w:rPr>
          <w:i/>
          <w:sz w:val="21"/>
          <w:szCs w:val="21"/>
        </w:rPr>
        <w:t>.</w:t>
      </w:r>
      <w:r w:rsidRPr="00FD24F5">
        <w:rPr>
          <w:i/>
          <w:sz w:val="21"/>
          <w:szCs w:val="21"/>
        </w:rPr>
        <w:t xml:space="preserve"> </w:t>
      </w:r>
      <w:r w:rsidR="00AB5BBF" w:rsidRPr="00FD24F5">
        <w:rPr>
          <w:i/>
          <w:sz w:val="21"/>
          <w:szCs w:val="21"/>
        </w:rPr>
        <w:t>Po</w:t>
      </w:r>
      <w:r w:rsidR="00672A2B" w:rsidRPr="00FD24F5">
        <w:rPr>
          <w:i/>
          <w:sz w:val="21"/>
          <w:szCs w:val="21"/>
        </w:rPr>
        <w:t>kračují též dotace od úřadu práce (912 tis. Kč), pro pečovatelskou službu</w:t>
      </w:r>
      <w:r w:rsidR="00AB5BBF" w:rsidRPr="00FD24F5">
        <w:rPr>
          <w:i/>
          <w:sz w:val="21"/>
          <w:szCs w:val="21"/>
        </w:rPr>
        <w:t xml:space="preserve"> (</w:t>
      </w:r>
      <w:r w:rsidR="00672A2B" w:rsidRPr="00FD24F5">
        <w:rPr>
          <w:i/>
          <w:sz w:val="21"/>
          <w:szCs w:val="21"/>
        </w:rPr>
        <w:t xml:space="preserve">1.500 tis. Kč). </w:t>
      </w:r>
      <w:r w:rsidR="007653F2" w:rsidRPr="00FD24F5">
        <w:rPr>
          <w:i/>
          <w:sz w:val="21"/>
          <w:szCs w:val="21"/>
        </w:rPr>
        <w:t>Nově je rozpočtována dotace na projekt „Modernizace odpadového systému ve výši 1342 tis.</w:t>
      </w:r>
      <w:r w:rsidR="00AB5BBF" w:rsidRPr="00FD24F5">
        <w:rPr>
          <w:i/>
          <w:sz w:val="21"/>
          <w:szCs w:val="21"/>
        </w:rPr>
        <w:t xml:space="preserve"> </w:t>
      </w:r>
      <w:r w:rsidR="00672A2B" w:rsidRPr="00FD24F5">
        <w:rPr>
          <w:i/>
          <w:sz w:val="21"/>
          <w:szCs w:val="21"/>
        </w:rPr>
        <w:t>Kč.</w:t>
      </w:r>
      <w:r w:rsidR="007653F2" w:rsidRPr="00FD24F5">
        <w:rPr>
          <w:i/>
          <w:sz w:val="21"/>
          <w:szCs w:val="21"/>
        </w:rPr>
        <w:t xml:space="preserve"> </w:t>
      </w:r>
      <w:r w:rsidR="00FD2A64" w:rsidRPr="00FD24F5">
        <w:rPr>
          <w:i/>
          <w:sz w:val="21"/>
          <w:szCs w:val="21"/>
        </w:rPr>
        <w:t>Z kap</w:t>
      </w:r>
      <w:r w:rsidR="007653F2" w:rsidRPr="00FD24F5">
        <w:rPr>
          <w:i/>
          <w:sz w:val="21"/>
          <w:szCs w:val="21"/>
        </w:rPr>
        <w:t xml:space="preserve">itálových dotací je rozpočtována </w:t>
      </w:r>
      <w:r w:rsidR="00FD2A64" w:rsidRPr="00FD24F5">
        <w:rPr>
          <w:i/>
          <w:sz w:val="21"/>
          <w:szCs w:val="21"/>
        </w:rPr>
        <w:t>dotace na pořízení hasičské cisterny od Min</w:t>
      </w:r>
      <w:r w:rsidR="000756FE" w:rsidRPr="00FD24F5">
        <w:rPr>
          <w:i/>
          <w:sz w:val="21"/>
          <w:szCs w:val="21"/>
        </w:rPr>
        <w:t>isterstva</w:t>
      </w:r>
      <w:r w:rsidR="00FD2A64" w:rsidRPr="00FD24F5">
        <w:rPr>
          <w:i/>
          <w:sz w:val="21"/>
          <w:szCs w:val="21"/>
        </w:rPr>
        <w:t xml:space="preserve"> vnitra ČR ve výši 2.500 tis. Kč a od Libereckého kraje </w:t>
      </w:r>
      <w:r w:rsidR="007653F2" w:rsidRPr="00FD24F5">
        <w:rPr>
          <w:i/>
          <w:sz w:val="21"/>
          <w:szCs w:val="21"/>
        </w:rPr>
        <w:t xml:space="preserve">doplatek </w:t>
      </w:r>
      <w:r w:rsidR="00FD2A64" w:rsidRPr="00FD24F5">
        <w:rPr>
          <w:i/>
          <w:sz w:val="21"/>
          <w:szCs w:val="21"/>
        </w:rPr>
        <w:t xml:space="preserve">ve výši </w:t>
      </w:r>
      <w:r w:rsidR="007653F2" w:rsidRPr="00FD24F5">
        <w:rPr>
          <w:i/>
          <w:sz w:val="21"/>
          <w:szCs w:val="21"/>
        </w:rPr>
        <w:t>100</w:t>
      </w:r>
      <w:r w:rsidR="00FD2A64" w:rsidRPr="00FD24F5">
        <w:rPr>
          <w:i/>
          <w:sz w:val="21"/>
          <w:szCs w:val="21"/>
        </w:rPr>
        <w:t xml:space="preserve"> tis. Kč.</w:t>
      </w:r>
      <w:r w:rsidR="00AB5BBF" w:rsidRPr="00FD24F5">
        <w:rPr>
          <w:i/>
          <w:sz w:val="21"/>
          <w:szCs w:val="21"/>
        </w:rPr>
        <w:t xml:space="preserve"> </w:t>
      </w:r>
    </w:p>
    <w:p w:rsidR="00BF7826" w:rsidRPr="00FD24F5" w:rsidRDefault="00ED41BA" w:rsidP="00BF7826">
      <w:pPr>
        <w:ind w:left="180" w:firstLine="301"/>
        <w:jc w:val="both"/>
        <w:rPr>
          <w:i/>
          <w:sz w:val="21"/>
          <w:szCs w:val="21"/>
        </w:rPr>
      </w:pPr>
      <w:r w:rsidRPr="00FD24F5">
        <w:rPr>
          <w:i/>
          <w:sz w:val="21"/>
          <w:szCs w:val="21"/>
        </w:rPr>
        <w:t xml:space="preserve">  </w:t>
      </w:r>
      <w:r w:rsidR="00BF7826" w:rsidRPr="00FD24F5">
        <w:rPr>
          <w:b/>
          <w:i/>
          <w:sz w:val="21"/>
          <w:szCs w:val="21"/>
        </w:rPr>
        <w:t xml:space="preserve">K rozpočtu běžných výdajů 2018: </w:t>
      </w:r>
      <w:r w:rsidR="00BF7826" w:rsidRPr="00FD24F5">
        <w:rPr>
          <w:i/>
          <w:sz w:val="21"/>
          <w:szCs w:val="21"/>
        </w:rPr>
        <w:t xml:space="preserve">Čerpání běžných výdajů je navrženo v souhrnné výši 141.863 tis. Kč (113% rozpočtu 2017). Kritériem k projednávání jednotlivých výdajů pro rok 2018 bylo doporučení finančního výboru města a to: mzdové výdaje navýšit o legislativní změny vlády, energie rozpočtovat na úrovni skutečnosti 2016 (u elektřiny, tepla) či mírný nárůst (u vody), ostatní běžné výdaje ve výši 102% rozpočtu 2017.  Součástí běžných výdajů budou i velké opravy a to opravy budov škol, týkající </w:t>
      </w:r>
      <w:proofErr w:type="gramStart"/>
      <w:r w:rsidR="00BF7826" w:rsidRPr="00FD24F5">
        <w:rPr>
          <w:i/>
          <w:sz w:val="21"/>
          <w:szCs w:val="21"/>
        </w:rPr>
        <w:t>čp.101</w:t>
      </w:r>
      <w:proofErr w:type="gramEnd"/>
      <w:r w:rsidR="00BF7826" w:rsidRPr="00FD24F5">
        <w:rPr>
          <w:i/>
          <w:sz w:val="21"/>
          <w:szCs w:val="21"/>
        </w:rPr>
        <w:t xml:space="preserve"> a 103,  opravy bytového fondu (5.600 tis. Kč) a např. obnova zahradního domku v parku (4.000 tis. Kč), opravy cest v zámeckém parku (1.000 tis. Kč), nové vybavení knihovny (1.000 tis. Kč).V dubnu 2018 se začíná splácet projekt EPC (2.151 tis. Kč). Ve výdajích je počítáno s neinvestiční rozpočtovou rezervou ve výši 868 tis. Kč.</w:t>
      </w:r>
    </w:p>
    <w:p w:rsidR="00BF7826" w:rsidRPr="00FD24F5" w:rsidRDefault="00BF7826" w:rsidP="00BF7826">
      <w:pPr>
        <w:ind w:left="180" w:firstLine="301"/>
        <w:jc w:val="both"/>
        <w:rPr>
          <w:i/>
          <w:sz w:val="21"/>
          <w:szCs w:val="21"/>
        </w:rPr>
      </w:pPr>
      <w:r w:rsidRPr="00FD24F5">
        <w:rPr>
          <w:b/>
          <w:i/>
          <w:sz w:val="21"/>
          <w:szCs w:val="21"/>
        </w:rPr>
        <w:t>K rozpočtu kapitálových výdajů 2018:</w:t>
      </w:r>
      <w:r w:rsidRPr="00FD24F5">
        <w:rPr>
          <w:i/>
          <w:sz w:val="21"/>
          <w:szCs w:val="21"/>
        </w:rPr>
        <w:t xml:space="preserve">  Kapitálové výdaje jsou navrženy v částce 72.440 tis. Kč.</w:t>
      </w:r>
      <w:r w:rsidRPr="00FD24F5">
        <w:rPr>
          <w:b/>
          <w:i/>
          <w:sz w:val="21"/>
          <w:szCs w:val="21"/>
        </w:rPr>
        <w:t xml:space="preserve"> </w:t>
      </w:r>
      <w:r w:rsidRPr="00FD24F5">
        <w:rPr>
          <w:i/>
          <w:sz w:val="21"/>
          <w:szCs w:val="21"/>
        </w:rPr>
        <w:t>Největší plánovanou akcí na rok 2018 je dokončení volnočasového areálu „Hraběnka“, v roce 2018 se počítá s částkou 10.474 tis. Kč. Financování vychází z </w:t>
      </w:r>
      <w:proofErr w:type="spellStart"/>
      <w:r w:rsidRPr="00FD24F5">
        <w:rPr>
          <w:i/>
          <w:sz w:val="21"/>
          <w:szCs w:val="21"/>
        </w:rPr>
        <w:t>usn</w:t>
      </w:r>
      <w:proofErr w:type="spellEnd"/>
      <w:r w:rsidRPr="00FD24F5">
        <w:rPr>
          <w:i/>
          <w:sz w:val="21"/>
          <w:szCs w:val="21"/>
        </w:rPr>
        <w:t xml:space="preserve">. ZM č. 108/17, kterým byl schválen rozsah akce ve výši 76.510 tis. Kč. Druhá nejvyšší investiční částka ve výši 9.000 tis. Kč připadá na investiční rozvoj Sportovního centra Jilemnice, s.r.o. a splacení základního kapitálu (2.800 tis. </w:t>
      </w:r>
      <w:proofErr w:type="gramStart"/>
      <w:r w:rsidRPr="00FD24F5">
        <w:rPr>
          <w:i/>
          <w:sz w:val="21"/>
          <w:szCs w:val="21"/>
        </w:rPr>
        <w:t>Kč) .U akce</w:t>
      </w:r>
      <w:proofErr w:type="gramEnd"/>
      <w:r w:rsidRPr="00FD24F5">
        <w:rPr>
          <w:i/>
          <w:sz w:val="21"/>
          <w:szCs w:val="21"/>
        </w:rPr>
        <w:t xml:space="preserve"> Chodník Čsl. Legií počítá rozpočet s částkou 6.530 tis. Kč, která odpovídá vlastnímu podílu k přislíbené dotaci (23.100 tis. Kč).  Předfinancování v částce 23.100 tis. Kč bude v průběhu roku řešeno krátkodobým úvěrem. Dále je rozpočtován nákup požární cisterny včetně vyprošťovacího zařízení (7.079 tis. Kč), nová parkoviště (5.700 tis. Kč), rekonstrukce čp. 85, kde vzniknou nové prostory pro ZUŠ (5.500 tis. Kč), obnova zahradního domku a vznik nové expozice (4.400 tis. Kč), vodovodní přivaděč „</w:t>
      </w:r>
      <w:proofErr w:type="spellStart"/>
      <w:r w:rsidRPr="00FD24F5">
        <w:rPr>
          <w:i/>
          <w:sz w:val="21"/>
          <w:szCs w:val="21"/>
        </w:rPr>
        <w:t>Bátovka</w:t>
      </w:r>
      <w:proofErr w:type="spellEnd"/>
      <w:r w:rsidRPr="00FD24F5">
        <w:rPr>
          <w:i/>
          <w:sz w:val="21"/>
          <w:szCs w:val="21"/>
        </w:rPr>
        <w:t xml:space="preserve">“ (4.000 tis. Kč), rekonstrukce čp. 259- kotelny a prostor pro městskou knihovnu (3.500 tis. Kč) a další. Nadále bude pokračovat příprava projektových dokumentací k akcím, které se budou realizovat v příštích letech (příprava území k bytové výstavbě, cyklostezka, apod.). Akce výstavba areálu koupaliště byla na základě výsledku loňského referenda zastavena. Investiční rozpočtová rezerva je ve výši 1.000 tis. Kč. </w:t>
      </w:r>
    </w:p>
    <w:p w:rsidR="00ED41BA" w:rsidRPr="00FD24F5" w:rsidRDefault="00ED41BA" w:rsidP="00ED41BA">
      <w:pPr>
        <w:ind w:left="180" w:firstLine="301"/>
        <w:jc w:val="both"/>
        <w:rPr>
          <w:i/>
          <w:sz w:val="21"/>
          <w:szCs w:val="21"/>
        </w:rPr>
      </w:pPr>
      <w:r w:rsidRPr="00FD24F5">
        <w:rPr>
          <w:i/>
          <w:sz w:val="21"/>
          <w:szCs w:val="21"/>
        </w:rPr>
        <w:t xml:space="preserve"> </w:t>
      </w:r>
      <w:r w:rsidRPr="00FD24F5">
        <w:rPr>
          <w:b/>
          <w:i/>
          <w:sz w:val="21"/>
          <w:szCs w:val="21"/>
        </w:rPr>
        <w:t xml:space="preserve">Financování: </w:t>
      </w:r>
      <w:r w:rsidRPr="00FD24F5">
        <w:rPr>
          <w:i/>
          <w:sz w:val="21"/>
          <w:szCs w:val="21"/>
        </w:rPr>
        <w:t>Do financování je zapojen celý přebytek hospodaření z roku 201</w:t>
      </w:r>
      <w:r w:rsidR="00C5275C" w:rsidRPr="00FD24F5">
        <w:rPr>
          <w:i/>
          <w:sz w:val="21"/>
          <w:szCs w:val="21"/>
        </w:rPr>
        <w:t>7</w:t>
      </w:r>
      <w:r w:rsidRPr="00FD24F5">
        <w:rPr>
          <w:i/>
          <w:sz w:val="21"/>
          <w:szCs w:val="21"/>
        </w:rPr>
        <w:t xml:space="preserve"> ve výši </w:t>
      </w:r>
      <w:r w:rsidR="00C5275C" w:rsidRPr="00FD24F5">
        <w:rPr>
          <w:i/>
          <w:sz w:val="21"/>
          <w:szCs w:val="21"/>
        </w:rPr>
        <w:t>57.116</w:t>
      </w:r>
      <w:r w:rsidRPr="00FD24F5">
        <w:rPr>
          <w:i/>
          <w:sz w:val="21"/>
          <w:szCs w:val="21"/>
        </w:rPr>
        <w:t xml:space="preserve"> tis. Kč. N</w:t>
      </w:r>
      <w:r w:rsidR="007E12C5" w:rsidRPr="00FD24F5">
        <w:rPr>
          <w:i/>
          <w:sz w:val="21"/>
          <w:szCs w:val="21"/>
        </w:rPr>
        <w:t xml:space="preserve">ení rozpočtována žádná splátka </w:t>
      </w:r>
      <w:r w:rsidRPr="00FD24F5">
        <w:rPr>
          <w:i/>
          <w:sz w:val="21"/>
          <w:szCs w:val="21"/>
        </w:rPr>
        <w:t>úvěru, neboť město Jilemnice nemá k 1.</w:t>
      </w:r>
      <w:r w:rsidR="007E12C5" w:rsidRPr="00FD24F5">
        <w:rPr>
          <w:i/>
          <w:sz w:val="21"/>
          <w:szCs w:val="21"/>
        </w:rPr>
        <w:t xml:space="preserve"> </w:t>
      </w:r>
      <w:r w:rsidRPr="00FD24F5">
        <w:rPr>
          <w:i/>
          <w:sz w:val="21"/>
          <w:szCs w:val="21"/>
        </w:rPr>
        <w:t>1.</w:t>
      </w:r>
      <w:r w:rsidR="007E12C5" w:rsidRPr="00FD24F5">
        <w:rPr>
          <w:i/>
          <w:sz w:val="21"/>
          <w:szCs w:val="21"/>
        </w:rPr>
        <w:t xml:space="preserve"> </w:t>
      </w:r>
      <w:r w:rsidRPr="00FD24F5">
        <w:rPr>
          <w:i/>
          <w:sz w:val="21"/>
          <w:szCs w:val="21"/>
        </w:rPr>
        <w:t>201</w:t>
      </w:r>
      <w:r w:rsidR="00C5275C" w:rsidRPr="00FD24F5">
        <w:rPr>
          <w:i/>
          <w:sz w:val="21"/>
          <w:szCs w:val="21"/>
        </w:rPr>
        <w:t>8</w:t>
      </w:r>
      <w:r w:rsidRPr="00FD24F5">
        <w:rPr>
          <w:i/>
          <w:sz w:val="21"/>
          <w:szCs w:val="21"/>
        </w:rPr>
        <w:t xml:space="preserve"> žádný nesplacený úvěr.</w:t>
      </w:r>
      <w:r w:rsidR="0047301B" w:rsidRPr="00FD24F5">
        <w:rPr>
          <w:i/>
          <w:sz w:val="21"/>
          <w:szCs w:val="21"/>
        </w:rPr>
        <w:t xml:space="preserve"> Pokud bude v roce 201</w:t>
      </w:r>
      <w:r w:rsidR="00C5275C" w:rsidRPr="00FD24F5">
        <w:rPr>
          <w:i/>
          <w:sz w:val="21"/>
          <w:szCs w:val="21"/>
        </w:rPr>
        <w:t>8</w:t>
      </w:r>
      <w:r w:rsidR="0047301B" w:rsidRPr="00FD24F5">
        <w:rPr>
          <w:i/>
          <w:sz w:val="21"/>
          <w:szCs w:val="21"/>
        </w:rPr>
        <w:t xml:space="preserve"> realizována celá akce</w:t>
      </w:r>
      <w:r w:rsidRPr="00FD24F5">
        <w:rPr>
          <w:i/>
          <w:sz w:val="21"/>
          <w:szCs w:val="21"/>
        </w:rPr>
        <w:t xml:space="preserve"> </w:t>
      </w:r>
      <w:r w:rsidR="0047301B" w:rsidRPr="00FD24F5">
        <w:rPr>
          <w:i/>
          <w:sz w:val="21"/>
          <w:szCs w:val="21"/>
        </w:rPr>
        <w:t>Chodník Čsl. Legií, předpokládáme její předfinancování</w:t>
      </w:r>
      <w:r w:rsidR="00C5275C" w:rsidRPr="00FD24F5">
        <w:rPr>
          <w:i/>
          <w:sz w:val="21"/>
          <w:szCs w:val="21"/>
        </w:rPr>
        <w:t xml:space="preserve"> </w:t>
      </w:r>
      <w:r w:rsidR="000756FE" w:rsidRPr="00FD24F5">
        <w:rPr>
          <w:i/>
          <w:sz w:val="21"/>
          <w:szCs w:val="21"/>
        </w:rPr>
        <w:t>k</w:t>
      </w:r>
      <w:r w:rsidR="00C629AC" w:rsidRPr="00FD24F5">
        <w:rPr>
          <w:i/>
          <w:sz w:val="21"/>
          <w:szCs w:val="21"/>
        </w:rPr>
        <w:t>rátkodobým překlenovacím úv</w:t>
      </w:r>
      <w:r w:rsidR="00C5275C" w:rsidRPr="00FD24F5">
        <w:rPr>
          <w:i/>
          <w:sz w:val="21"/>
          <w:szCs w:val="21"/>
        </w:rPr>
        <w:t xml:space="preserve">ěrem. </w:t>
      </w:r>
      <w:r w:rsidR="007E12C5" w:rsidRPr="00FD24F5">
        <w:rPr>
          <w:i/>
          <w:sz w:val="21"/>
          <w:szCs w:val="21"/>
        </w:rPr>
        <w:t>Předběžná</w:t>
      </w:r>
      <w:r w:rsidR="00C5275C" w:rsidRPr="00FD24F5">
        <w:rPr>
          <w:i/>
          <w:sz w:val="21"/>
          <w:szCs w:val="21"/>
        </w:rPr>
        <w:t xml:space="preserve"> výše úvěru odpovídá přijaté dotaci, tj. 23.100 tis. Kč. </w:t>
      </w:r>
      <w:r w:rsidR="007E12C5" w:rsidRPr="00FD24F5">
        <w:rPr>
          <w:i/>
          <w:sz w:val="21"/>
          <w:szCs w:val="21"/>
        </w:rPr>
        <w:t>Smlouva o úvěru bude ZM předložena ke schválení v průběhu</w:t>
      </w:r>
      <w:r w:rsidR="00C629AC" w:rsidRPr="00FD24F5">
        <w:rPr>
          <w:i/>
          <w:sz w:val="21"/>
          <w:szCs w:val="21"/>
        </w:rPr>
        <w:t xml:space="preserve"> roku 20</w:t>
      </w:r>
      <w:r w:rsidR="00C5275C" w:rsidRPr="00FD24F5">
        <w:rPr>
          <w:i/>
          <w:sz w:val="21"/>
          <w:szCs w:val="21"/>
        </w:rPr>
        <w:t>18</w:t>
      </w:r>
      <w:r w:rsidR="00C629AC" w:rsidRPr="00FD24F5">
        <w:rPr>
          <w:i/>
          <w:sz w:val="21"/>
          <w:szCs w:val="21"/>
        </w:rPr>
        <w:t>.</w:t>
      </w:r>
      <w:r w:rsidR="00C5275C" w:rsidRPr="00FD24F5">
        <w:rPr>
          <w:i/>
          <w:sz w:val="21"/>
          <w:szCs w:val="21"/>
        </w:rPr>
        <w:t xml:space="preserve"> </w:t>
      </w:r>
      <w:r w:rsidR="000756FE" w:rsidRPr="00FD24F5">
        <w:rPr>
          <w:i/>
          <w:sz w:val="21"/>
          <w:szCs w:val="21"/>
        </w:rPr>
        <w:t xml:space="preserve"> </w:t>
      </w:r>
    </w:p>
    <w:p w:rsidR="00BF7826" w:rsidRPr="00FD24F5" w:rsidRDefault="00ED41BA" w:rsidP="00BF7826">
      <w:pPr>
        <w:ind w:left="170" w:firstLine="311"/>
        <w:jc w:val="both"/>
        <w:rPr>
          <w:i/>
          <w:sz w:val="21"/>
          <w:szCs w:val="21"/>
        </w:rPr>
      </w:pPr>
      <w:r w:rsidRPr="00FD24F5">
        <w:rPr>
          <w:b/>
          <w:i/>
          <w:sz w:val="21"/>
          <w:szCs w:val="21"/>
        </w:rPr>
        <w:t xml:space="preserve"> Závěr: </w:t>
      </w:r>
      <w:r w:rsidR="00BF7826" w:rsidRPr="00FD24F5">
        <w:rPr>
          <w:i/>
          <w:sz w:val="21"/>
          <w:szCs w:val="21"/>
        </w:rPr>
        <w:t>Celkové příjmy na rok 2018 jsou navrhovány v částce 157.187 tis. Kč, celkové výdaje ve výši 214.303 tis. Kč. Rozdíl mezi příjmy a výdaji ve výši 57.116 tis. Kč je vyrovnán financováním</w:t>
      </w:r>
      <w:r w:rsidR="00BF7826" w:rsidRPr="00FD24F5">
        <w:rPr>
          <w:b/>
          <w:i/>
          <w:sz w:val="21"/>
          <w:szCs w:val="21"/>
        </w:rPr>
        <w:t xml:space="preserve">, </w:t>
      </w:r>
      <w:r w:rsidR="00BF7826" w:rsidRPr="00FD24F5">
        <w:rPr>
          <w:i/>
          <w:sz w:val="21"/>
          <w:szCs w:val="21"/>
        </w:rPr>
        <w:t>které tvoří přebytek hospodaření z roku 2017 v téže výši 57.116 tis. Kč.</w:t>
      </w:r>
    </w:p>
    <w:p w:rsidR="00BF7826" w:rsidRPr="00FD24F5" w:rsidRDefault="00BF7826" w:rsidP="00BF7826">
      <w:pPr>
        <w:ind w:left="180"/>
        <w:jc w:val="both"/>
        <w:rPr>
          <w:i/>
          <w:sz w:val="21"/>
          <w:szCs w:val="21"/>
        </w:rPr>
      </w:pPr>
      <w:r w:rsidRPr="00FD24F5">
        <w:rPr>
          <w:i/>
          <w:sz w:val="21"/>
          <w:szCs w:val="21"/>
        </w:rPr>
        <w:t xml:space="preserve">Návrh rozpočtu na rok 2018 projednal a doporučil ke schválení finanční výbor dne </w:t>
      </w:r>
      <w:proofErr w:type="gramStart"/>
      <w:r w:rsidRPr="00FD24F5">
        <w:rPr>
          <w:i/>
          <w:sz w:val="21"/>
          <w:szCs w:val="21"/>
        </w:rPr>
        <w:t>6.2.2018</w:t>
      </w:r>
      <w:proofErr w:type="gramEnd"/>
      <w:r w:rsidRPr="00FD24F5">
        <w:rPr>
          <w:i/>
          <w:sz w:val="21"/>
          <w:szCs w:val="21"/>
        </w:rPr>
        <w:t>. Rada města návrh finančního výboru projednala dne 7. 2. 2018 s tím, že doporučila ještě zvýšit příjmy i výdaje o 500 tis. Kč (</w:t>
      </w:r>
      <w:proofErr w:type="spellStart"/>
      <w:r w:rsidRPr="00FD24F5">
        <w:rPr>
          <w:i/>
          <w:sz w:val="21"/>
          <w:szCs w:val="21"/>
        </w:rPr>
        <w:t>usn</w:t>
      </w:r>
      <w:proofErr w:type="spellEnd"/>
      <w:r w:rsidRPr="00FD24F5">
        <w:rPr>
          <w:i/>
          <w:sz w:val="21"/>
          <w:szCs w:val="21"/>
        </w:rPr>
        <w:t>. č. 28/18). Takto doplněný návrh rozpočtu byl řádně vyvěšen na úřední desce a internetových stránkách města.</w:t>
      </w:r>
    </w:p>
    <w:p w:rsidR="008A56CA" w:rsidRDefault="008A56CA" w:rsidP="00FD24F5">
      <w:pPr>
        <w:jc w:val="both"/>
        <w:rPr>
          <w:sz w:val="20"/>
          <w:szCs w:val="20"/>
        </w:rPr>
      </w:pPr>
    </w:p>
    <w:p w:rsidR="00B51BA4" w:rsidRDefault="00B51BA4" w:rsidP="00ED41BA">
      <w:pPr>
        <w:ind w:left="170" w:firstLine="311"/>
        <w:jc w:val="both"/>
        <w:rPr>
          <w:sz w:val="20"/>
          <w:szCs w:val="20"/>
        </w:rPr>
      </w:pPr>
    </w:p>
    <w:tbl>
      <w:tblPr>
        <w:tblW w:w="9091" w:type="dxa"/>
        <w:tblInd w:w="55" w:type="dxa"/>
        <w:tblCellMar>
          <w:left w:w="70" w:type="dxa"/>
          <w:right w:w="70" w:type="dxa"/>
        </w:tblCellMar>
        <w:tblLook w:val="04A0" w:firstRow="1" w:lastRow="0" w:firstColumn="1" w:lastColumn="0" w:noHBand="0" w:noVBand="1"/>
      </w:tblPr>
      <w:tblGrid>
        <w:gridCol w:w="4126"/>
        <w:gridCol w:w="171"/>
        <w:gridCol w:w="741"/>
        <w:gridCol w:w="937"/>
        <w:gridCol w:w="158"/>
        <w:gridCol w:w="819"/>
        <w:gridCol w:w="2139"/>
      </w:tblGrid>
      <w:tr w:rsidR="00B51BA4" w:rsidTr="00B51BA4">
        <w:trPr>
          <w:trHeight w:val="315"/>
        </w:trPr>
        <w:tc>
          <w:tcPr>
            <w:tcW w:w="9091" w:type="dxa"/>
            <w:gridSpan w:val="7"/>
            <w:tcBorders>
              <w:top w:val="nil"/>
              <w:left w:val="nil"/>
              <w:bottom w:val="nil"/>
              <w:right w:val="nil"/>
            </w:tcBorders>
            <w:shd w:val="clear" w:color="000000" w:fill="FFFF99"/>
            <w:noWrap/>
            <w:vAlign w:val="bottom"/>
            <w:hideMark/>
          </w:tcPr>
          <w:p w:rsidR="00B51BA4" w:rsidRDefault="00B51BA4">
            <w:pPr>
              <w:rPr>
                <w:rFonts w:ascii="Arial CE" w:hAnsi="Arial CE" w:cs="Arial CE"/>
                <w:b/>
                <w:bCs/>
              </w:rPr>
            </w:pPr>
            <w:r>
              <w:rPr>
                <w:rFonts w:ascii="Arial CE" w:hAnsi="Arial CE" w:cs="Arial CE"/>
                <w:b/>
                <w:bCs/>
              </w:rPr>
              <w:t>Město Jilemnice - základní údaje k hospodaření za rok 2017 a k rozpočtu 2018</w:t>
            </w:r>
          </w:p>
        </w:tc>
      </w:tr>
      <w:tr w:rsidR="00B51BA4" w:rsidTr="00B51BA4">
        <w:trPr>
          <w:trHeight w:val="210"/>
        </w:trPr>
        <w:tc>
          <w:tcPr>
            <w:tcW w:w="4297"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b/>
                <w:bCs/>
              </w:rPr>
            </w:pPr>
          </w:p>
        </w:tc>
        <w:tc>
          <w:tcPr>
            <w:tcW w:w="741" w:type="dxa"/>
            <w:tcBorders>
              <w:top w:val="nil"/>
              <w:left w:val="nil"/>
              <w:bottom w:val="nil"/>
              <w:right w:val="nil"/>
            </w:tcBorders>
            <w:shd w:val="clear" w:color="auto" w:fill="auto"/>
            <w:noWrap/>
            <w:vAlign w:val="bottom"/>
            <w:hideMark/>
          </w:tcPr>
          <w:p w:rsidR="00B51BA4" w:rsidRDefault="00B51BA4">
            <w:pPr>
              <w:rPr>
                <w:rFonts w:ascii="Arial" w:hAnsi="Arial" w:cs="Arial"/>
                <w:sz w:val="20"/>
                <w:szCs w:val="20"/>
              </w:rPr>
            </w:pPr>
          </w:p>
        </w:tc>
        <w:tc>
          <w:tcPr>
            <w:tcW w:w="937" w:type="dxa"/>
            <w:tcBorders>
              <w:top w:val="nil"/>
              <w:left w:val="nil"/>
              <w:bottom w:val="nil"/>
              <w:right w:val="nil"/>
            </w:tcBorders>
            <w:shd w:val="clear" w:color="auto" w:fill="auto"/>
            <w:noWrap/>
            <w:vAlign w:val="bottom"/>
            <w:hideMark/>
          </w:tcPr>
          <w:p w:rsidR="00B51BA4" w:rsidRDefault="00B51BA4">
            <w:pPr>
              <w:rPr>
                <w:rFonts w:ascii="Arial" w:hAnsi="Arial" w:cs="Arial"/>
                <w:sz w:val="20"/>
                <w:szCs w:val="20"/>
              </w:rPr>
            </w:pPr>
          </w:p>
        </w:tc>
        <w:tc>
          <w:tcPr>
            <w:tcW w:w="977" w:type="dxa"/>
            <w:gridSpan w:val="2"/>
            <w:tcBorders>
              <w:top w:val="nil"/>
              <w:left w:val="nil"/>
              <w:bottom w:val="nil"/>
              <w:right w:val="nil"/>
            </w:tcBorders>
            <w:shd w:val="clear" w:color="auto" w:fill="auto"/>
            <w:noWrap/>
            <w:vAlign w:val="bottom"/>
            <w:hideMark/>
          </w:tcPr>
          <w:p w:rsidR="00B51BA4" w:rsidRDefault="00B51BA4">
            <w:pPr>
              <w:rPr>
                <w:rFonts w:ascii="Arial" w:hAnsi="Arial" w:cs="Arial"/>
                <w:sz w:val="20"/>
                <w:szCs w:val="20"/>
              </w:rPr>
            </w:pPr>
          </w:p>
        </w:tc>
        <w:tc>
          <w:tcPr>
            <w:tcW w:w="2139" w:type="dxa"/>
            <w:tcBorders>
              <w:top w:val="nil"/>
              <w:left w:val="nil"/>
              <w:bottom w:val="nil"/>
              <w:right w:val="nil"/>
            </w:tcBorders>
            <w:shd w:val="clear" w:color="auto" w:fill="auto"/>
            <w:noWrap/>
            <w:vAlign w:val="bottom"/>
            <w:hideMark/>
          </w:tcPr>
          <w:p w:rsidR="00B51BA4" w:rsidRDefault="00B51BA4">
            <w:pPr>
              <w:rPr>
                <w:rFonts w:ascii="Arial" w:hAnsi="Arial" w:cs="Arial"/>
                <w:sz w:val="16"/>
                <w:szCs w:val="16"/>
              </w:rPr>
            </w:pPr>
          </w:p>
        </w:tc>
      </w:tr>
      <w:tr w:rsidR="00B51BA4" w:rsidTr="00B51BA4">
        <w:trPr>
          <w:trHeight w:val="315"/>
        </w:trPr>
        <w:tc>
          <w:tcPr>
            <w:tcW w:w="9091" w:type="dxa"/>
            <w:gridSpan w:val="7"/>
            <w:tcBorders>
              <w:top w:val="nil"/>
              <w:left w:val="nil"/>
              <w:bottom w:val="nil"/>
              <w:right w:val="nil"/>
            </w:tcBorders>
            <w:shd w:val="clear" w:color="000000" w:fill="FFFF99"/>
            <w:noWrap/>
            <w:vAlign w:val="bottom"/>
            <w:hideMark/>
          </w:tcPr>
          <w:p w:rsidR="00B51BA4" w:rsidRDefault="00B51BA4">
            <w:pPr>
              <w:rPr>
                <w:rFonts w:ascii="Arial CE" w:hAnsi="Arial CE" w:cs="Arial CE"/>
                <w:b/>
                <w:bCs/>
              </w:rPr>
            </w:pPr>
            <w:r>
              <w:rPr>
                <w:rFonts w:ascii="Arial CE" w:hAnsi="Arial CE" w:cs="Arial CE"/>
                <w:b/>
                <w:bCs/>
              </w:rPr>
              <w:t xml:space="preserve">1) Vyhodnocení přebytku hospodaření za rok 2017 </w:t>
            </w:r>
            <w:r>
              <w:rPr>
                <w:rFonts w:ascii="Arial CE" w:hAnsi="Arial CE" w:cs="Arial CE"/>
                <w:b/>
                <w:bCs/>
                <w:sz w:val="20"/>
                <w:szCs w:val="20"/>
              </w:rPr>
              <w:t>(tis. Kč.)</w:t>
            </w:r>
          </w:p>
        </w:tc>
      </w:tr>
      <w:tr w:rsidR="00B51BA4" w:rsidTr="00B51BA4">
        <w:trPr>
          <w:trHeight w:val="255"/>
        </w:trPr>
        <w:tc>
          <w:tcPr>
            <w:tcW w:w="5038" w:type="dxa"/>
            <w:gridSpan w:val="3"/>
            <w:tcBorders>
              <w:top w:val="nil"/>
              <w:left w:val="nil"/>
              <w:bottom w:val="nil"/>
              <w:right w:val="nil"/>
            </w:tcBorders>
            <w:shd w:val="clear" w:color="auto" w:fill="auto"/>
            <w:noWrap/>
            <w:vAlign w:val="bottom"/>
            <w:hideMark/>
          </w:tcPr>
          <w:p w:rsidR="00B51BA4" w:rsidRDefault="00B51BA4">
            <w:pPr>
              <w:rPr>
                <w:rFonts w:ascii="Arial" w:hAnsi="Arial" w:cs="Arial"/>
                <w:b/>
                <w:bCs/>
                <w:sz w:val="20"/>
                <w:szCs w:val="20"/>
              </w:rPr>
            </w:pPr>
            <w:r>
              <w:rPr>
                <w:rFonts w:ascii="Arial" w:hAnsi="Arial" w:cs="Arial"/>
                <w:b/>
                <w:bCs/>
                <w:sz w:val="20"/>
                <w:szCs w:val="20"/>
              </w:rPr>
              <w:t>rozdíl mezi příjmy a výdaji za rok 2017</w:t>
            </w:r>
          </w:p>
        </w:tc>
        <w:tc>
          <w:tcPr>
            <w:tcW w:w="1095" w:type="dxa"/>
            <w:gridSpan w:val="2"/>
            <w:tcBorders>
              <w:top w:val="nil"/>
              <w:left w:val="nil"/>
              <w:bottom w:val="nil"/>
              <w:right w:val="nil"/>
            </w:tcBorders>
            <w:shd w:val="clear" w:color="auto" w:fill="auto"/>
            <w:noWrap/>
            <w:vAlign w:val="bottom"/>
            <w:hideMark/>
          </w:tcPr>
          <w:p w:rsidR="00B51BA4" w:rsidRDefault="00B51BA4">
            <w:pPr>
              <w:rPr>
                <w:rFonts w:ascii="Arial" w:hAnsi="Arial" w:cs="Arial"/>
                <w:b/>
                <w:bCs/>
                <w:sz w:val="20"/>
                <w:szCs w:val="20"/>
              </w:rPr>
            </w:pPr>
          </w:p>
        </w:tc>
        <w:tc>
          <w:tcPr>
            <w:tcW w:w="819" w:type="dxa"/>
            <w:tcBorders>
              <w:top w:val="nil"/>
              <w:left w:val="nil"/>
              <w:bottom w:val="nil"/>
              <w:right w:val="nil"/>
            </w:tcBorders>
            <w:shd w:val="clear" w:color="auto" w:fill="auto"/>
            <w:noWrap/>
            <w:vAlign w:val="bottom"/>
            <w:hideMark/>
          </w:tcPr>
          <w:p w:rsidR="00B51BA4" w:rsidRDefault="00B51BA4">
            <w:pPr>
              <w:jc w:val="right"/>
              <w:rPr>
                <w:rFonts w:ascii="Arial CE" w:hAnsi="Arial CE" w:cs="Arial CE"/>
                <w:b/>
                <w:bCs/>
                <w:sz w:val="20"/>
                <w:szCs w:val="20"/>
              </w:rPr>
            </w:pPr>
            <w:r>
              <w:rPr>
                <w:rFonts w:ascii="Arial CE" w:hAnsi="Arial CE" w:cs="Arial CE"/>
                <w:b/>
                <w:bCs/>
                <w:sz w:val="20"/>
                <w:szCs w:val="20"/>
              </w:rPr>
              <w:t>-14 963</w:t>
            </w:r>
          </w:p>
        </w:tc>
        <w:tc>
          <w:tcPr>
            <w:tcW w:w="2139" w:type="dxa"/>
            <w:tcBorders>
              <w:top w:val="nil"/>
              <w:left w:val="nil"/>
              <w:bottom w:val="nil"/>
              <w:right w:val="nil"/>
            </w:tcBorders>
            <w:shd w:val="clear" w:color="auto" w:fill="auto"/>
            <w:noWrap/>
            <w:vAlign w:val="bottom"/>
            <w:hideMark/>
          </w:tcPr>
          <w:p w:rsidR="00B51BA4" w:rsidRDefault="00B51BA4">
            <w:pPr>
              <w:rPr>
                <w:rFonts w:ascii="Arial CE" w:hAnsi="Arial CE" w:cs="Arial CE"/>
                <w:sz w:val="16"/>
                <w:szCs w:val="16"/>
              </w:rPr>
            </w:pPr>
          </w:p>
        </w:tc>
      </w:tr>
      <w:tr w:rsidR="00B51BA4" w:rsidTr="00B51BA4">
        <w:trPr>
          <w:trHeight w:val="255"/>
        </w:trPr>
        <w:tc>
          <w:tcPr>
            <w:tcW w:w="4297"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r>
              <w:rPr>
                <w:rFonts w:ascii="Arial CE" w:hAnsi="Arial CE" w:cs="Arial CE"/>
                <w:sz w:val="20"/>
                <w:szCs w:val="20"/>
              </w:rPr>
              <w:t>zapojený přebytek z roku 2016</w:t>
            </w:r>
          </w:p>
        </w:tc>
        <w:tc>
          <w:tcPr>
            <w:tcW w:w="741" w:type="dxa"/>
            <w:tcBorders>
              <w:top w:val="nil"/>
              <w:left w:val="nil"/>
              <w:bottom w:val="nil"/>
              <w:right w:val="nil"/>
            </w:tcBorders>
            <w:shd w:val="clear" w:color="auto" w:fill="auto"/>
            <w:noWrap/>
            <w:vAlign w:val="bottom"/>
            <w:hideMark/>
          </w:tcPr>
          <w:p w:rsidR="00B51BA4" w:rsidRDefault="00B51BA4">
            <w:pPr>
              <w:rPr>
                <w:rFonts w:ascii="Arial" w:hAnsi="Arial" w:cs="Arial"/>
                <w:sz w:val="20"/>
                <w:szCs w:val="20"/>
              </w:rPr>
            </w:pPr>
          </w:p>
        </w:tc>
        <w:tc>
          <w:tcPr>
            <w:tcW w:w="1095" w:type="dxa"/>
            <w:gridSpan w:val="2"/>
            <w:tcBorders>
              <w:top w:val="nil"/>
              <w:left w:val="nil"/>
              <w:bottom w:val="nil"/>
              <w:right w:val="nil"/>
            </w:tcBorders>
            <w:shd w:val="clear" w:color="auto" w:fill="auto"/>
            <w:noWrap/>
            <w:vAlign w:val="bottom"/>
            <w:hideMark/>
          </w:tcPr>
          <w:p w:rsidR="00B51BA4" w:rsidRDefault="00B51BA4">
            <w:pPr>
              <w:rPr>
                <w:rFonts w:ascii="Arial" w:hAnsi="Arial" w:cs="Arial"/>
                <w:sz w:val="20"/>
                <w:szCs w:val="20"/>
              </w:rPr>
            </w:pPr>
          </w:p>
        </w:tc>
        <w:tc>
          <w:tcPr>
            <w:tcW w:w="819" w:type="dxa"/>
            <w:tcBorders>
              <w:top w:val="nil"/>
              <w:left w:val="nil"/>
              <w:bottom w:val="nil"/>
              <w:right w:val="nil"/>
            </w:tcBorders>
            <w:shd w:val="clear" w:color="auto" w:fill="auto"/>
            <w:noWrap/>
            <w:vAlign w:val="bottom"/>
            <w:hideMark/>
          </w:tcPr>
          <w:p w:rsidR="00B51BA4" w:rsidRDefault="00B51BA4">
            <w:pPr>
              <w:jc w:val="right"/>
              <w:rPr>
                <w:rFonts w:ascii="Arial CE" w:hAnsi="Arial CE" w:cs="Arial CE"/>
                <w:sz w:val="20"/>
                <w:szCs w:val="20"/>
              </w:rPr>
            </w:pPr>
            <w:r>
              <w:rPr>
                <w:rFonts w:ascii="Arial CE" w:hAnsi="Arial CE" w:cs="Arial CE"/>
                <w:sz w:val="20"/>
                <w:szCs w:val="20"/>
              </w:rPr>
              <w:t>72 079</w:t>
            </w:r>
          </w:p>
        </w:tc>
        <w:tc>
          <w:tcPr>
            <w:tcW w:w="2139" w:type="dxa"/>
            <w:tcBorders>
              <w:top w:val="nil"/>
              <w:left w:val="nil"/>
              <w:bottom w:val="nil"/>
              <w:right w:val="nil"/>
            </w:tcBorders>
            <w:shd w:val="clear" w:color="auto" w:fill="auto"/>
            <w:noWrap/>
            <w:vAlign w:val="bottom"/>
            <w:hideMark/>
          </w:tcPr>
          <w:p w:rsidR="00B51BA4" w:rsidRDefault="00B51BA4">
            <w:pPr>
              <w:rPr>
                <w:rFonts w:ascii="Arial" w:hAnsi="Arial" w:cs="Arial"/>
                <w:sz w:val="20"/>
                <w:szCs w:val="20"/>
              </w:rPr>
            </w:pPr>
          </w:p>
        </w:tc>
      </w:tr>
      <w:tr w:rsidR="00B51BA4" w:rsidTr="00B51BA4">
        <w:trPr>
          <w:trHeight w:val="255"/>
        </w:trPr>
        <w:tc>
          <w:tcPr>
            <w:tcW w:w="5038" w:type="dxa"/>
            <w:gridSpan w:val="3"/>
            <w:tcBorders>
              <w:top w:val="nil"/>
              <w:left w:val="nil"/>
              <w:bottom w:val="nil"/>
              <w:right w:val="nil"/>
            </w:tcBorders>
            <w:shd w:val="clear" w:color="auto" w:fill="auto"/>
            <w:noWrap/>
            <w:vAlign w:val="bottom"/>
            <w:hideMark/>
          </w:tcPr>
          <w:p w:rsidR="00B51BA4" w:rsidRDefault="00B51BA4">
            <w:pPr>
              <w:rPr>
                <w:rFonts w:ascii="Arial CE" w:hAnsi="Arial CE" w:cs="Arial CE"/>
                <w:b/>
                <w:bCs/>
                <w:sz w:val="20"/>
                <w:szCs w:val="20"/>
              </w:rPr>
            </w:pPr>
            <w:r>
              <w:rPr>
                <w:rFonts w:ascii="Arial CE" w:hAnsi="Arial CE" w:cs="Arial CE"/>
                <w:b/>
                <w:bCs/>
                <w:sz w:val="20"/>
                <w:szCs w:val="20"/>
              </w:rPr>
              <w:t>celkový přebytek hospodaření za rok 2017</w:t>
            </w:r>
          </w:p>
        </w:tc>
        <w:tc>
          <w:tcPr>
            <w:tcW w:w="1095" w:type="dxa"/>
            <w:gridSpan w:val="2"/>
            <w:tcBorders>
              <w:top w:val="nil"/>
              <w:left w:val="nil"/>
              <w:bottom w:val="nil"/>
              <w:right w:val="nil"/>
            </w:tcBorders>
            <w:shd w:val="clear" w:color="auto" w:fill="auto"/>
            <w:noWrap/>
            <w:vAlign w:val="bottom"/>
            <w:hideMark/>
          </w:tcPr>
          <w:p w:rsidR="00B51BA4" w:rsidRDefault="00B51BA4">
            <w:pPr>
              <w:rPr>
                <w:rFonts w:ascii="Arial" w:hAnsi="Arial" w:cs="Arial"/>
                <w:sz w:val="20"/>
                <w:szCs w:val="20"/>
              </w:rPr>
            </w:pPr>
          </w:p>
        </w:tc>
        <w:tc>
          <w:tcPr>
            <w:tcW w:w="819" w:type="dxa"/>
            <w:tcBorders>
              <w:top w:val="nil"/>
              <w:left w:val="nil"/>
              <w:bottom w:val="nil"/>
              <w:right w:val="nil"/>
            </w:tcBorders>
            <w:shd w:val="clear" w:color="auto" w:fill="auto"/>
            <w:noWrap/>
            <w:vAlign w:val="bottom"/>
            <w:hideMark/>
          </w:tcPr>
          <w:p w:rsidR="00B51BA4" w:rsidRDefault="00B51BA4">
            <w:pPr>
              <w:jc w:val="right"/>
              <w:rPr>
                <w:rFonts w:ascii="Arial CE" w:hAnsi="Arial CE" w:cs="Arial CE"/>
                <w:b/>
                <w:bCs/>
                <w:sz w:val="20"/>
                <w:szCs w:val="20"/>
              </w:rPr>
            </w:pPr>
            <w:r>
              <w:rPr>
                <w:rFonts w:ascii="Arial CE" w:hAnsi="Arial CE" w:cs="Arial CE"/>
                <w:b/>
                <w:bCs/>
                <w:sz w:val="20"/>
                <w:szCs w:val="20"/>
              </w:rPr>
              <w:t>57 116</w:t>
            </w:r>
          </w:p>
        </w:tc>
        <w:tc>
          <w:tcPr>
            <w:tcW w:w="2139" w:type="dxa"/>
            <w:tcBorders>
              <w:top w:val="nil"/>
              <w:left w:val="nil"/>
              <w:bottom w:val="nil"/>
              <w:right w:val="nil"/>
            </w:tcBorders>
            <w:shd w:val="clear" w:color="auto" w:fill="auto"/>
            <w:noWrap/>
            <w:vAlign w:val="bottom"/>
            <w:hideMark/>
          </w:tcPr>
          <w:p w:rsidR="00B51BA4" w:rsidRDefault="00B51BA4">
            <w:pPr>
              <w:rPr>
                <w:rFonts w:ascii="Arial CE" w:hAnsi="Arial CE" w:cs="Arial CE"/>
                <w:b/>
                <w:bCs/>
                <w:sz w:val="16"/>
                <w:szCs w:val="16"/>
              </w:rPr>
            </w:pPr>
          </w:p>
        </w:tc>
      </w:tr>
      <w:tr w:rsidR="00B51BA4" w:rsidTr="00B51BA4">
        <w:trPr>
          <w:trHeight w:val="150"/>
        </w:trPr>
        <w:tc>
          <w:tcPr>
            <w:tcW w:w="4126" w:type="dxa"/>
            <w:tcBorders>
              <w:top w:val="nil"/>
              <w:left w:val="nil"/>
              <w:bottom w:val="nil"/>
              <w:right w:val="nil"/>
            </w:tcBorders>
            <w:shd w:val="clear" w:color="auto" w:fill="auto"/>
            <w:noWrap/>
            <w:vAlign w:val="bottom"/>
            <w:hideMark/>
          </w:tcPr>
          <w:p w:rsidR="00B51BA4" w:rsidRDefault="00B51BA4">
            <w:pPr>
              <w:rPr>
                <w:rFonts w:ascii="Arial" w:hAnsi="Arial" w:cs="Arial"/>
                <w:sz w:val="20"/>
                <w:szCs w:val="20"/>
              </w:rPr>
            </w:pPr>
          </w:p>
        </w:tc>
        <w:tc>
          <w:tcPr>
            <w:tcW w:w="912" w:type="dxa"/>
            <w:gridSpan w:val="2"/>
            <w:tcBorders>
              <w:top w:val="nil"/>
              <w:left w:val="nil"/>
              <w:bottom w:val="nil"/>
              <w:right w:val="nil"/>
            </w:tcBorders>
            <w:shd w:val="clear" w:color="auto" w:fill="auto"/>
            <w:noWrap/>
            <w:vAlign w:val="bottom"/>
            <w:hideMark/>
          </w:tcPr>
          <w:p w:rsidR="00B51BA4" w:rsidRDefault="00B51BA4">
            <w:pPr>
              <w:rPr>
                <w:rFonts w:ascii="Arial" w:hAnsi="Arial" w:cs="Arial"/>
                <w:sz w:val="20"/>
                <w:szCs w:val="20"/>
              </w:rPr>
            </w:pPr>
          </w:p>
        </w:tc>
        <w:tc>
          <w:tcPr>
            <w:tcW w:w="1095" w:type="dxa"/>
            <w:gridSpan w:val="2"/>
            <w:tcBorders>
              <w:top w:val="nil"/>
              <w:left w:val="nil"/>
              <w:bottom w:val="nil"/>
              <w:right w:val="nil"/>
            </w:tcBorders>
            <w:shd w:val="clear" w:color="auto" w:fill="auto"/>
            <w:noWrap/>
            <w:vAlign w:val="bottom"/>
            <w:hideMark/>
          </w:tcPr>
          <w:p w:rsidR="00B51BA4" w:rsidRDefault="00B51BA4">
            <w:pPr>
              <w:rPr>
                <w:rFonts w:ascii="Arial" w:hAnsi="Arial" w:cs="Arial"/>
                <w:sz w:val="20"/>
                <w:szCs w:val="20"/>
              </w:rPr>
            </w:pPr>
          </w:p>
        </w:tc>
        <w:tc>
          <w:tcPr>
            <w:tcW w:w="819" w:type="dxa"/>
            <w:tcBorders>
              <w:top w:val="nil"/>
              <w:left w:val="nil"/>
              <w:bottom w:val="nil"/>
              <w:right w:val="nil"/>
            </w:tcBorders>
            <w:shd w:val="clear" w:color="auto" w:fill="auto"/>
            <w:noWrap/>
            <w:vAlign w:val="bottom"/>
            <w:hideMark/>
          </w:tcPr>
          <w:p w:rsidR="00B51BA4" w:rsidRDefault="00B51BA4">
            <w:pPr>
              <w:rPr>
                <w:rFonts w:ascii="Arial" w:hAnsi="Arial" w:cs="Arial"/>
                <w:b/>
                <w:bCs/>
                <w:sz w:val="20"/>
                <w:szCs w:val="20"/>
              </w:rPr>
            </w:pPr>
          </w:p>
        </w:tc>
        <w:tc>
          <w:tcPr>
            <w:tcW w:w="2139" w:type="dxa"/>
            <w:tcBorders>
              <w:top w:val="nil"/>
              <w:left w:val="nil"/>
              <w:bottom w:val="nil"/>
              <w:right w:val="nil"/>
            </w:tcBorders>
            <w:shd w:val="clear" w:color="auto" w:fill="auto"/>
            <w:noWrap/>
            <w:vAlign w:val="bottom"/>
            <w:hideMark/>
          </w:tcPr>
          <w:p w:rsidR="00B51BA4" w:rsidRDefault="00B51BA4">
            <w:pPr>
              <w:rPr>
                <w:rFonts w:ascii="Arial" w:hAnsi="Arial" w:cs="Arial"/>
                <w:sz w:val="16"/>
                <w:szCs w:val="16"/>
              </w:rPr>
            </w:pPr>
          </w:p>
        </w:tc>
      </w:tr>
      <w:tr w:rsidR="00B51BA4" w:rsidTr="00B51BA4">
        <w:trPr>
          <w:trHeight w:val="255"/>
        </w:trPr>
        <w:tc>
          <w:tcPr>
            <w:tcW w:w="4126" w:type="dxa"/>
            <w:tcBorders>
              <w:top w:val="single" w:sz="8" w:space="0" w:color="auto"/>
              <w:left w:val="single" w:sz="8" w:space="0" w:color="auto"/>
              <w:bottom w:val="nil"/>
              <w:right w:val="single" w:sz="4" w:space="0" w:color="auto"/>
            </w:tcBorders>
            <w:shd w:val="clear" w:color="auto" w:fill="auto"/>
            <w:noWrap/>
            <w:vAlign w:val="bottom"/>
            <w:hideMark/>
          </w:tcPr>
          <w:p w:rsidR="00B51BA4" w:rsidRDefault="00B51BA4">
            <w:pPr>
              <w:rPr>
                <w:rFonts w:ascii="Arial" w:hAnsi="Arial" w:cs="Arial"/>
                <w:b/>
                <w:bCs/>
                <w:sz w:val="20"/>
                <w:szCs w:val="20"/>
              </w:rPr>
            </w:pPr>
            <w:r>
              <w:rPr>
                <w:rFonts w:ascii="Arial" w:hAnsi="Arial" w:cs="Arial"/>
                <w:b/>
                <w:bCs/>
                <w:sz w:val="20"/>
                <w:szCs w:val="20"/>
              </w:rPr>
              <w:t>činnosti</w:t>
            </w:r>
          </w:p>
        </w:tc>
        <w:tc>
          <w:tcPr>
            <w:tcW w:w="912" w:type="dxa"/>
            <w:gridSpan w:val="2"/>
            <w:tcBorders>
              <w:top w:val="single" w:sz="8" w:space="0" w:color="auto"/>
              <w:left w:val="nil"/>
              <w:bottom w:val="nil"/>
              <w:right w:val="single" w:sz="4" w:space="0" w:color="auto"/>
            </w:tcBorders>
            <w:shd w:val="clear" w:color="auto" w:fill="auto"/>
            <w:noWrap/>
            <w:vAlign w:val="bottom"/>
            <w:hideMark/>
          </w:tcPr>
          <w:p w:rsidR="00B51BA4" w:rsidRDefault="00B51BA4">
            <w:pPr>
              <w:jc w:val="center"/>
              <w:rPr>
                <w:rFonts w:ascii="Arial" w:hAnsi="Arial" w:cs="Arial"/>
                <w:b/>
                <w:bCs/>
                <w:sz w:val="20"/>
                <w:szCs w:val="20"/>
              </w:rPr>
            </w:pPr>
            <w:r>
              <w:rPr>
                <w:rFonts w:ascii="Arial" w:hAnsi="Arial" w:cs="Arial"/>
                <w:b/>
                <w:bCs/>
                <w:sz w:val="20"/>
                <w:szCs w:val="20"/>
              </w:rPr>
              <w:t>vyšší</w:t>
            </w:r>
          </w:p>
        </w:tc>
        <w:tc>
          <w:tcPr>
            <w:tcW w:w="1095" w:type="dxa"/>
            <w:gridSpan w:val="2"/>
            <w:tcBorders>
              <w:top w:val="single" w:sz="8" w:space="0" w:color="auto"/>
              <w:left w:val="nil"/>
              <w:bottom w:val="nil"/>
              <w:right w:val="single" w:sz="4" w:space="0" w:color="auto"/>
            </w:tcBorders>
            <w:shd w:val="clear" w:color="auto" w:fill="auto"/>
            <w:noWrap/>
            <w:vAlign w:val="bottom"/>
            <w:hideMark/>
          </w:tcPr>
          <w:p w:rsidR="00B51BA4" w:rsidRDefault="00B51BA4">
            <w:pPr>
              <w:jc w:val="center"/>
              <w:rPr>
                <w:rFonts w:ascii="Arial" w:hAnsi="Arial" w:cs="Arial"/>
                <w:b/>
                <w:bCs/>
                <w:sz w:val="20"/>
                <w:szCs w:val="20"/>
              </w:rPr>
            </w:pPr>
            <w:r>
              <w:rPr>
                <w:rFonts w:ascii="Arial" w:hAnsi="Arial" w:cs="Arial"/>
                <w:b/>
                <w:bCs/>
                <w:sz w:val="20"/>
                <w:szCs w:val="20"/>
              </w:rPr>
              <w:t xml:space="preserve">ušetřené </w:t>
            </w:r>
          </w:p>
        </w:tc>
        <w:tc>
          <w:tcPr>
            <w:tcW w:w="819" w:type="dxa"/>
            <w:tcBorders>
              <w:top w:val="single" w:sz="8" w:space="0" w:color="auto"/>
              <w:left w:val="nil"/>
              <w:bottom w:val="nil"/>
              <w:right w:val="single" w:sz="4" w:space="0" w:color="auto"/>
            </w:tcBorders>
            <w:shd w:val="clear" w:color="auto" w:fill="auto"/>
            <w:noWrap/>
            <w:vAlign w:val="bottom"/>
            <w:hideMark/>
          </w:tcPr>
          <w:p w:rsidR="00B51BA4" w:rsidRDefault="00B51BA4">
            <w:pPr>
              <w:jc w:val="center"/>
              <w:rPr>
                <w:rFonts w:ascii="Arial" w:hAnsi="Arial" w:cs="Arial"/>
                <w:b/>
                <w:bCs/>
                <w:sz w:val="20"/>
                <w:szCs w:val="20"/>
              </w:rPr>
            </w:pPr>
            <w:r>
              <w:rPr>
                <w:rFonts w:ascii="Arial" w:hAnsi="Arial" w:cs="Arial"/>
                <w:b/>
                <w:bCs/>
                <w:sz w:val="20"/>
                <w:szCs w:val="20"/>
              </w:rPr>
              <w:t>saldo</w:t>
            </w:r>
          </w:p>
        </w:tc>
        <w:tc>
          <w:tcPr>
            <w:tcW w:w="2139" w:type="dxa"/>
            <w:tcBorders>
              <w:top w:val="single" w:sz="8" w:space="0" w:color="auto"/>
              <w:left w:val="nil"/>
              <w:bottom w:val="nil"/>
              <w:right w:val="single" w:sz="8" w:space="0" w:color="auto"/>
            </w:tcBorders>
            <w:shd w:val="clear" w:color="auto" w:fill="auto"/>
            <w:noWrap/>
            <w:vAlign w:val="bottom"/>
            <w:hideMark/>
          </w:tcPr>
          <w:p w:rsidR="00B51BA4" w:rsidRDefault="00B51BA4">
            <w:pPr>
              <w:rPr>
                <w:rFonts w:ascii="Arial" w:hAnsi="Arial" w:cs="Arial"/>
                <w:b/>
                <w:bCs/>
                <w:sz w:val="20"/>
                <w:szCs w:val="20"/>
              </w:rPr>
            </w:pPr>
            <w:r>
              <w:rPr>
                <w:rFonts w:ascii="Arial" w:hAnsi="Arial" w:cs="Arial"/>
                <w:b/>
                <w:bCs/>
                <w:sz w:val="20"/>
                <w:szCs w:val="20"/>
              </w:rPr>
              <w:t>poznámka</w:t>
            </w:r>
          </w:p>
        </w:tc>
      </w:tr>
      <w:tr w:rsidR="00B51BA4" w:rsidTr="00B51BA4">
        <w:trPr>
          <w:trHeight w:val="255"/>
        </w:trPr>
        <w:tc>
          <w:tcPr>
            <w:tcW w:w="4126" w:type="dxa"/>
            <w:tcBorders>
              <w:top w:val="nil"/>
              <w:left w:val="single" w:sz="8" w:space="0" w:color="auto"/>
              <w:bottom w:val="single" w:sz="4" w:space="0" w:color="auto"/>
              <w:right w:val="single" w:sz="4" w:space="0" w:color="auto"/>
            </w:tcBorders>
            <w:shd w:val="clear" w:color="auto" w:fill="auto"/>
            <w:noWrap/>
            <w:vAlign w:val="bottom"/>
            <w:hideMark/>
          </w:tcPr>
          <w:p w:rsidR="00B51BA4" w:rsidRDefault="00B51BA4">
            <w:pPr>
              <w:rPr>
                <w:rFonts w:ascii="Arial" w:hAnsi="Arial" w:cs="Arial"/>
                <w:b/>
                <w:bCs/>
                <w:sz w:val="20"/>
                <w:szCs w:val="20"/>
              </w:rPr>
            </w:pPr>
            <w:r>
              <w:rPr>
                <w:rFonts w:ascii="Arial" w:hAnsi="Arial" w:cs="Arial"/>
                <w:b/>
                <w:bCs/>
                <w:sz w:val="20"/>
                <w:szCs w:val="20"/>
              </w:rPr>
              <w:t> </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B51BA4" w:rsidRDefault="00B51BA4">
            <w:pPr>
              <w:jc w:val="center"/>
              <w:rPr>
                <w:rFonts w:ascii="Arial" w:hAnsi="Arial" w:cs="Arial"/>
                <w:b/>
                <w:bCs/>
                <w:sz w:val="20"/>
                <w:szCs w:val="20"/>
              </w:rPr>
            </w:pPr>
            <w:r>
              <w:rPr>
                <w:rFonts w:ascii="Arial" w:hAnsi="Arial" w:cs="Arial"/>
                <w:b/>
                <w:bCs/>
                <w:sz w:val="20"/>
                <w:szCs w:val="20"/>
              </w:rPr>
              <w:t>příjmy</w:t>
            </w:r>
          </w:p>
        </w:tc>
        <w:tc>
          <w:tcPr>
            <w:tcW w:w="1095" w:type="dxa"/>
            <w:gridSpan w:val="2"/>
            <w:tcBorders>
              <w:top w:val="nil"/>
              <w:left w:val="nil"/>
              <w:bottom w:val="single" w:sz="4" w:space="0" w:color="auto"/>
              <w:right w:val="single" w:sz="4" w:space="0" w:color="auto"/>
            </w:tcBorders>
            <w:shd w:val="clear" w:color="auto" w:fill="auto"/>
            <w:noWrap/>
            <w:vAlign w:val="bottom"/>
            <w:hideMark/>
          </w:tcPr>
          <w:p w:rsidR="00B51BA4" w:rsidRDefault="00B51BA4">
            <w:pPr>
              <w:jc w:val="center"/>
              <w:rPr>
                <w:rFonts w:ascii="Arial" w:hAnsi="Arial" w:cs="Arial"/>
                <w:b/>
                <w:bCs/>
                <w:sz w:val="20"/>
                <w:szCs w:val="20"/>
              </w:rPr>
            </w:pPr>
            <w:r>
              <w:rPr>
                <w:rFonts w:ascii="Arial" w:hAnsi="Arial" w:cs="Arial"/>
                <w:b/>
                <w:bCs/>
                <w:sz w:val="20"/>
                <w:szCs w:val="20"/>
              </w:rPr>
              <w:t>výdaje</w:t>
            </w:r>
          </w:p>
        </w:tc>
        <w:tc>
          <w:tcPr>
            <w:tcW w:w="819" w:type="dxa"/>
            <w:tcBorders>
              <w:top w:val="nil"/>
              <w:left w:val="nil"/>
              <w:bottom w:val="single" w:sz="4" w:space="0" w:color="auto"/>
              <w:right w:val="single" w:sz="4" w:space="0" w:color="auto"/>
            </w:tcBorders>
            <w:shd w:val="clear" w:color="auto" w:fill="auto"/>
            <w:noWrap/>
            <w:vAlign w:val="bottom"/>
            <w:hideMark/>
          </w:tcPr>
          <w:p w:rsidR="00B51BA4" w:rsidRDefault="00B51BA4">
            <w:pPr>
              <w:jc w:val="center"/>
              <w:rPr>
                <w:rFonts w:ascii="Arial" w:hAnsi="Arial" w:cs="Arial"/>
                <w:b/>
                <w:bCs/>
                <w:sz w:val="20"/>
                <w:szCs w:val="20"/>
              </w:rPr>
            </w:pPr>
            <w:r>
              <w:rPr>
                <w:rFonts w:ascii="Arial" w:hAnsi="Arial" w:cs="Arial"/>
                <w:b/>
                <w:bCs/>
                <w:sz w:val="20"/>
                <w:szCs w:val="20"/>
              </w:rPr>
              <w:t>celkem</w:t>
            </w:r>
          </w:p>
        </w:tc>
        <w:tc>
          <w:tcPr>
            <w:tcW w:w="2139" w:type="dxa"/>
            <w:tcBorders>
              <w:top w:val="nil"/>
              <w:left w:val="nil"/>
              <w:bottom w:val="single" w:sz="4" w:space="0" w:color="auto"/>
              <w:right w:val="single" w:sz="8" w:space="0" w:color="auto"/>
            </w:tcBorders>
            <w:shd w:val="clear" w:color="auto" w:fill="auto"/>
            <w:noWrap/>
            <w:vAlign w:val="bottom"/>
            <w:hideMark/>
          </w:tcPr>
          <w:p w:rsidR="00B51BA4" w:rsidRDefault="00B51BA4">
            <w:pPr>
              <w:rPr>
                <w:rFonts w:ascii="Arial" w:hAnsi="Arial" w:cs="Arial"/>
                <w:b/>
                <w:bCs/>
                <w:sz w:val="16"/>
                <w:szCs w:val="16"/>
              </w:rPr>
            </w:pPr>
            <w:r>
              <w:rPr>
                <w:rFonts w:ascii="Arial" w:hAnsi="Arial" w:cs="Arial"/>
                <w:b/>
                <w:bCs/>
                <w:sz w:val="16"/>
                <w:szCs w:val="16"/>
              </w:rPr>
              <w:t> </w:t>
            </w:r>
          </w:p>
        </w:tc>
      </w:tr>
      <w:tr w:rsidR="00B51BA4"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daňové příjmy</w:t>
            </w:r>
          </w:p>
        </w:tc>
        <w:tc>
          <w:tcPr>
            <w:tcW w:w="912" w:type="dxa"/>
            <w:gridSpan w:val="2"/>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6 924 </w:t>
            </w:r>
          </w:p>
        </w:tc>
        <w:tc>
          <w:tcPr>
            <w:tcW w:w="1095" w:type="dxa"/>
            <w:gridSpan w:val="2"/>
            <w:tcBorders>
              <w:top w:val="nil"/>
              <w:left w:val="nil"/>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 </w:t>
            </w:r>
          </w:p>
        </w:tc>
        <w:tc>
          <w:tcPr>
            <w:tcW w:w="819" w:type="dxa"/>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6 924 </w:t>
            </w:r>
          </w:p>
        </w:tc>
        <w:tc>
          <w:tcPr>
            <w:tcW w:w="2139" w:type="dxa"/>
            <w:tcBorders>
              <w:top w:val="nil"/>
              <w:left w:val="nil"/>
              <w:bottom w:val="nil"/>
              <w:right w:val="single" w:sz="8" w:space="0" w:color="auto"/>
            </w:tcBorders>
            <w:shd w:val="clear" w:color="auto" w:fill="auto"/>
            <w:noWrap/>
            <w:vAlign w:val="bottom"/>
            <w:hideMark/>
          </w:tcPr>
          <w:p w:rsidR="00B51BA4" w:rsidRDefault="00B51BA4">
            <w:pPr>
              <w:rPr>
                <w:rFonts w:ascii="Arial" w:hAnsi="Arial" w:cs="Arial"/>
                <w:sz w:val="16"/>
                <w:szCs w:val="16"/>
              </w:rPr>
            </w:pPr>
            <w:r>
              <w:rPr>
                <w:rFonts w:ascii="Arial" w:hAnsi="Arial" w:cs="Arial"/>
                <w:sz w:val="16"/>
                <w:szCs w:val="16"/>
              </w:rPr>
              <w:t> </w:t>
            </w:r>
          </w:p>
        </w:tc>
      </w:tr>
      <w:tr w:rsidR="00B51BA4"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daň z hazardu, odvod z hracích přístrojů</w:t>
            </w:r>
          </w:p>
        </w:tc>
        <w:tc>
          <w:tcPr>
            <w:tcW w:w="912" w:type="dxa"/>
            <w:gridSpan w:val="2"/>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1 556 </w:t>
            </w:r>
          </w:p>
        </w:tc>
        <w:tc>
          <w:tcPr>
            <w:tcW w:w="1095" w:type="dxa"/>
            <w:gridSpan w:val="2"/>
            <w:tcBorders>
              <w:top w:val="nil"/>
              <w:left w:val="nil"/>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 </w:t>
            </w:r>
          </w:p>
        </w:tc>
        <w:tc>
          <w:tcPr>
            <w:tcW w:w="819" w:type="dxa"/>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1 556 </w:t>
            </w:r>
          </w:p>
        </w:tc>
        <w:tc>
          <w:tcPr>
            <w:tcW w:w="2139" w:type="dxa"/>
            <w:tcBorders>
              <w:top w:val="nil"/>
              <w:left w:val="nil"/>
              <w:bottom w:val="nil"/>
              <w:right w:val="single" w:sz="8" w:space="0" w:color="auto"/>
            </w:tcBorders>
            <w:shd w:val="clear" w:color="auto" w:fill="auto"/>
            <w:noWrap/>
            <w:vAlign w:val="bottom"/>
            <w:hideMark/>
          </w:tcPr>
          <w:p w:rsidR="00B51BA4" w:rsidRDefault="00B51BA4">
            <w:pPr>
              <w:rPr>
                <w:rFonts w:ascii="Arial" w:hAnsi="Arial" w:cs="Arial"/>
                <w:sz w:val="16"/>
                <w:szCs w:val="16"/>
              </w:rPr>
            </w:pPr>
            <w:r>
              <w:rPr>
                <w:rFonts w:ascii="Arial" w:hAnsi="Arial" w:cs="Arial"/>
                <w:sz w:val="16"/>
                <w:szCs w:val="16"/>
              </w:rPr>
              <w:t> </w:t>
            </w:r>
          </w:p>
        </w:tc>
      </w:tr>
      <w:tr w:rsidR="00B51BA4"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 xml:space="preserve">prodej majetku (pozemků a </w:t>
            </w:r>
            <w:proofErr w:type="spellStart"/>
            <w:r>
              <w:rPr>
                <w:rFonts w:ascii="Arial" w:hAnsi="Arial" w:cs="Arial"/>
                <w:sz w:val="20"/>
                <w:szCs w:val="20"/>
              </w:rPr>
              <w:t>proj</w:t>
            </w:r>
            <w:proofErr w:type="spellEnd"/>
            <w:r>
              <w:rPr>
                <w:rFonts w:ascii="Arial" w:hAnsi="Arial" w:cs="Arial"/>
                <w:sz w:val="20"/>
                <w:szCs w:val="20"/>
              </w:rPr>
              <w:t>. dokumentace)</w:t>
            </w:r>
          </w:p>
        </w:tc>
        <w:tc>
          <w:tcPr>
            <w:tcW w:w="912" w:type="dxa"/>
            <w:gridSpan w:val="2"/>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1 041 </w:t>
            </w:r>
          </w:p>
        </w:tc>
        <w:tc>
          <w:tcPr>
            <w:tcW w:w="1095" w:type="dxa"/>
            <w:gridSpan w:val="2"/>
            <w:tcBorders>
              <w:top w:val="nil"/>
              <w:left w:val="nil"/>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 </w:t>
            </w:r>
          </w:p>
        </w:tc>
        <w:tc>
          <w:tcPr>
            <w:tcW w:w="819" w:type="dxa"/>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1 041 </w:t>
            </w:r>
          </w:p>
        </w:tc>
        <w:tc>
          <w:tcPr>
            <w:tcW w:w="2139" w:type="dxa"/>
            <w:tcBorders>
              <w:top w:val="nil"/>
              <w:left w:val="nil"/>
              <w:bottom w:val="nil"/>
              <w:right w:val="single" w:sz="8" w:space="0" w:color="auto"/>
            </w:tcBorders>
            <w:shd w:val="clear" w:color="auto" w:fill="auto"/>
            <w:noWrap/>
            <w:vAlign w:val="bottom"/>
            <w:hideMark/>
          </w:tcPr>
          <w:p w:rsidR="00B51BA4" w:rsidRDefault="00B51BA4">
            <w:pPr>
              <w:rPr>
                <w:rFonts w:ascii="Arial" w:hAnsi="Arial" w:cs="Arial"/>
                <w:sz w:val="16"/>
                <w:szCs w:val="16"/>
              </w:rPr>
            </w:pPr>
            <w:r>
              <w:rPr>
                <w:rFonts w:ascii="Arial" w:hAnsi="Arial" w:cs="Arial"/>
                <w:sz w:val="16"/>
                <w:szCs w:val="16"/>
              </w:rPr>
              <w:t> </w:t>
            </w:r>
          </w:p>
        </w:tc>
      </w:tr>
      <w:tr w:rsidR="00B51BA4"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B51BA4" w:rsidRDefault="00B51BA4">
            <w:pPr>
              <w:rPr>
                <w:rFonts w:ascii="Arial" w:hAnsi="Arial" w:cs="Arial"/>
                <w:sz w:val="20"/>
                <w:szCs w:val="20"/>
              </w:rPr>
            </w:pPr>
            <w:proofErr w:type="gramStart"/>
            <w:r>
              <w:rPr>
                <w:rFonts w:ascii="Arial" w:hAnsi="Arial" w:cs="Arial"/>
                <w:sz w:val="20"/>
                <w:szCs w:val="20"/>
              </w:rPr>
              <w:t>lesnictví , lom</w:t>
            </w:r>
            <w:proofErr w:type="gramEnd"/>
            <w:r>
              <w:rPr>
                <w:rFonts w:ascii="Arial" w:hAnsi="Arial" w:cs="Arial"/>
                <w:sz w:val="20"/>
                <w:szCs w:val="20"/>
              </w:rPr>
              <w:t xml:space="preserve"> revitalizace</w:t>
            </w:r>
          </w:p>
        </w:tc>
        <w:tc>
          <w:tcPr>
            <w:tcW w:w="912" w:type="dxa"/>
            <w:gridSpan w:val="2"/>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714 </w:t>
            </w:r>
          </w:p>
        </w:tc>
        <w:tc>
          <w:tcPr>
            <w:tcW w:w="1095" w:type="dxa"/>
            <w:gridSpan w:val="2"/>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558 </w:t>
            </w:r>
          </w:p>
        </w:tc>
        <w:tc>
          <w:tcPr>
            <w:tcW w:w="819" w:type="dxa"/>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1 272 </w:t>
            </w:r>
          </w:p>
        </w:tc>
        <w:tc>
          <w:tcPr>
            <w:tcW w:w="2139" w:type="dxa"/>
            <w:tcBorders>
              <w:top w:val="nil"/>
              <w:left w:val="nil"/>
              <w:bottom w:val="nil"/>
              <w:right w:val="single" w:sz="8" w:space="0" w:color="auto"/>
            </w:tcBorders>
            <w:shd w:val="clear" w:color="auto" w:fill="auto"/>
            <w:noWrap/>
            <w:vAlign w:val="bottom"/>
            <w:hideMark/>
          </w:tcPr>
          <w:p w:rsidR="00B51BA4" w:rsidRDefault="00B51BA4">
            <w:pPr>
              <w:rPr>
                <w:rFonts w:ascii="Arial" w:hAnsi="Arial" w:cs="Arial"/>
                <w:sz w:val="16"/>
                <w:szCs w:val="16"/>
              </w:rPr>
            </w:pPr>
            <w:r>
              <w:rPr>
                <w:rFonts w:ascii="Arial" w:hAnsi="Arial" w:cs="Arial"/>
                <w:sz w:val="16"/>
                <w:szCs w:val="16"/>
              </w:rPr>
              <w:t> </w:t>
            </w:r>
          </w:p>
        </w:tc>
      </w:tr>
      <w:tr w:rsidR="00B51BA4"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komunální odpad (poplatek, kompenzace)</w:t>
            </w:r>
          </w:p>
        </w:tc>
        <w:tc>
          <w:tcPr>
            <w:tcW w:w="912" w:type="dxa"/>
            <w:gridSpan w:val="2"/>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281 </w:t>
            </w:r>
          </w:p>
        </w:tc>
        <w:tc>
          <w:tcPr>
            <w:tcW w:w="1095" w:type="dxa"/>
            <w:gridSpan w:val="2"/>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color w:val="FF0000"/>
                <w:sz w:val="20"/>
                <w:szCs w:val="20"/>
              </w:rPr>
              <w:t xml:space="preserve">-130 </w:t>
            </w:r>
          </w:p>
        </w:tc>
        <w:tc>
          <w:tcPr>
            <w:tcW w:w="819" w:type="dxa"/>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151 </w:t>
            </w:r>
          </w:p>
        </w:tc>
        <w:tc>
          <w:tcPr>
            <w:tcW w:w="2139" w:type="dxa"/>
            <w:tcBorders>
              <w:top w:val="nil"/>
              <w:left w:val="nil"/>
              <w:bottom w:val="nil"/>
              <w:right w:val="single" w:sz="8" w:space="0" w:color="auto"/>
            </w:tcBorders>
            <w:shd w:val="clear" w:color="auto" w:fill="auto"/>
            <w:noWrap/>
            <w:vAlign w:val="bottom"/>
            <w:hideMark/>
          </w:tcPr>
          <w:p w:rsidR="00B51BA4" w:rsidRDefault="00B51BA4">
            <w:pPr>
              <w:rPr>
                <w:rFonts w:ascii="Arial" w:hAnsi="Arial" w:cs="Arial"/>
                <w:sz w:val="16"/>
                <w:szCs w:val="16"/>
              </w:rPr>
            </w:pPr>
            <w:r>
              <w:rPr>
                <w:rFonts w:ascii="Arial" w:hAnsi="Arial" w:cs="Arial"/>
                <w:sz w:val="16"/>
                <w:szCs w:val="16"/>
              </w:rPr>
              <w:t> </w:t>
            </w:r>
          </w:p>
        </w:tc>
      </w:tr>
      <w:tr w:rsidR="00B51BA4"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přijaté náhrady</w:t>
            </w:r>
          </w:p>
        </w:tc>
        <w:tc>
          <w:tcPr>
            <w:tcW w:w="912" w:type="dxa"/>
            <w:gridSpan w:val="2"/>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204 </w:t>
            </w:r>
          </w:p>
        </w:tc>
        <w:tc>
          <w:tcPr>
            <w:tcW w:w="1095" w:type="dxa"/>
            <w:gridSpan w:val="2"/>
            <w:tcBorders>
              <w:top w:val="nil"/>
              <w:left w:val="nil"/>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 </w:t>
            </w:r>
          </w:p>
        </w:tc>
        <w:tc>
          <w:tcPr>
            <w:tcW w:w="819" w:type="dxa"/>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204 </w:t>
            </w:r>
          </w:p>
        </w:tc>
        <w:tc>
          <w:tcPr>
            <w:tcW w:w="2139" w:type="dxa"/>
            <w:tcBorders>
              <w:top w:val="nil"/>
              <w:left w:val="nil"/>
              <w:bottom w:val="nil"/>
              <w:right w:val="single" w:sz="8" w:space="0" w:color="auto"/>
            </w:tcBorders>
            <w:shd w:val="clear" w:color="auto" w:fill="auto"/>
            <w:noWrap/>
            <w:vAlign w:val="bottom"/>
            <w:hideMark/>
          </w:tcPr>
          <w:p w:rsidR="00B51BA4" w:rsidRDefault="00B51BA4">
            <w:pPr>
              <w:rPr>
                <w:rFonts w:ascii="Arial" w:hAnsi="Arial" w:cs="Arial"/>
                <w:sz w:val="16"/>
                <w:szCs w:val="16"/>
              </w:rPr>
            </w:pPr>
            <w:r>
              <w:rPr>
                <w:rFonts w:ascii="Arial" w:hAnsi="Arial" w:cs="Arial"/>
                <w:sz w:val="16"/>
                <w:szCs w:val="16"/>
              </w:rPr>
              <w:t> </w:t>
            </w:r>
          </w:p>
        </w:tc>
      </w:tr>
      <w:tr w:rsidR="00B51BA4"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pečovatelská služba, s</w:t>
            </w:r>
            <w:bookmarkStart w:id="0" w:name="_GoBack"/>
            <w:bookmarkEnd w:id="0"/>
            <w:r>
              <w:rPr>
                <w:rFonts w:ascii="Arial" w:hAnsi="Arial" w:cs="Arial"/>
                <w:sz w:val="20"/>
                <w:szCs w:val="20"/>
              </w:rPr>
              <w:t>oc. péče</w:t>
            </w:r>
          </w:p>
        </w:tc>
        <w:tc>
          <w:tcPr>
            <w:tcW w:w="912" w:type="dxa"/>
            <w:gridSpan w:val="2"/>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186 </w:t>
            </w:r>
          </w:p>
        </w:tc>
        <w:tc>
          <w:tcPr>
            <w:tcW w:w="1095" w:type="dxa"/>
            <w:gridSpan w:val="2"/>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589 </w:t>
            </w:r>
          </w:p>
        </w:tc>
        <w:tc>
          <w:tcPr>
            <w:tcW w:w="819" w:type="dxa"/>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775 </w:t>
            </w:r>
          </w:p>
        </w:tc>
        <w:tc>
          <w:tcPr>
            <w:tcW w:w="2139" w:type="dxa"/>
            <w:tcBorders>
              <w:top w:val="nil"/>
              <w:left w:val="nil"/>
              <w:bottom w:val="nil"/>
              <w:right w:val="single" w:sz="8" w:space="0" w:color="auto"/>
            </w:tcBorders>
            <w:shd w:val="clear" w:color="auto" w:fill="auto"/>
            <w:noWrap/>
            <w:vAlign w:val="bottom"/>
            <w:hideMark/>
          </w:tcPr>
          <w:p w:rsidR="00B51BA4" w:rsidRDefault="00B51BA4">
            <w:pPr>
              <w:rPr>
                <w:rFonts w:ascii="Arial" w:hAnsi="Arial" w:cs="Arial"/>
                <w:sz w:val="16"/>
                <w:szCs w:val="16"/>
              </w:rPr>
            </w:pPr>
            <w:r>
              <w:rPr>
                <w:rFonts w:ascii="Arial" w:hAnsi="Arial" w:cs="Arial"/>
                <w:sz w:val="16"/>
                <w:szCs w:val="16"/>
              </w:rPr>
              <w:t> </w:t>
            </w:r>
          </w:p>
        </w:tc>
      </w:tr>
      <w:tr w:rsidR="00B51BA4"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správní poplatky</w:t>
            </w:r>
          </w:p>
        </w:tc>
        <w:tc>
          <w:tcPr>
            <w:tcW w:w="912" w:type="dxa"/>
            <w:gridSpan w:val="2"/>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160 </w:t>
            </w:r>
          </w:p>
        </w:tc>
        <w:tc>
          <w:tcPr>
            <w:tcW w:w="1095" w:type="dxa"/>
            <w:gridSpan w:val="2"/>
            <w:tcBorders>
              <w:top w:val="nil"/>
              <w:left w:val="nil"/>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 </w:t>
            </w:r>
          </w:p>
        </w:tc>
        <w:tc>
          <w:tcPr>
            <w:tcW w:w="819" w:type="dxa"/>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160 </w:t>
            </w:r>
          </w:p>
        </w:tc>
        <w:tc>
          <w:tcPr>
            <w:tcW w:w="2139" w:type="dxa"/>
            <w:tcBorders>
              <w:top w:val="nil"/>
              <w:left w:val="nil"/>
              <w:bottom w:val="nil"/>
              <w:right w:val="single" w:sz="8" w:space="0" w:color="auto"/>
            </w:tcBorders>
            <w:shd w:val="clear" w:color="auto" w:fill="auto"/>
            <w:noWrap/>
            <w:vAlign w:val="bottom"/>
            <w:hideMark/>
          </w:tcPr>
          <w:p w:rsidR="00B51BA4" w:rsidRDefault="00B51BA4">
            <w:pPr>
              <w:rPr>
                <w:rFonts w:ascii="Arial" w:hAnsi="Arial" w:cs="Arial"/>
                <w:sz w:val="16"/>
                <w:szCs w:val="16"/>
              </w:rPr>
            </w:pPr>
            <w:r>
              <w:rPr>
                <w:rFonts w:ascii="Arial" w:hAnsi="Arial" w:cs="Arial"/>
                <w:sz w:val="16"/>
                <w:szCs w:val="16"/>
              </w:rPr>
              <w:t> </w:t>
            </w:r>
          </w:p>
        </w:tc>
      </w:tr>
      <w:tr w:rsidR="00B51BA4"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B51BA4" w:rsidRDefault="00B51BA4">
            <w:pPr>
              <w:rPr>
                <w:rFonts w:ascii="Arial" w:hAnsi="Arial" w:cs="Arial"/>
                <w:sz w:val="20"/>
                <w:szCs w:val="20"/>
              </w:rPr>
            </w:pPr>
            <w:proofErr w:type="spellStart"/>
            <w:r>
              <w:rPr>
                <w:rFonts w:ascii="Arial" w:hAnsi="Arial" w:cs="Arial"/>
                <w:sz w:val="20"/>
                <w:szCs w:val="20"/>
              </w:rPr>
              <w:t>popl</w:t>
            </w:r>
            <w:proofErr w:type="spellEnd"/>
            <w:r>
              <w:rPr>
                <w:rFonts w:ascii="Arial" w:hAnsi="Arial" w:cs="Arial"/>
                <w:sz w:val="20"/>
                <w:szCs w:val="20"/>
              </w:rPr>
              <w:t>. za znečišťování ovzduší</w:t>
            </w:r>
          </w:p>
        </w:tc>
        <w:tc>
          <w:tcPr>
            <w:tcW w:w="912" w:type="dxa"/>
            <w:gridSpan w:val="2"/>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121 </w:t>
            </w:r>
          </w:p>
        </w:tc>
        <w:tc>
          <w:tcPr>
            <w:tcW w:w="1095" w:type="dxa"/>
            <w:gridSpan w:val="2"/>
            <w:tcBorders>
              <w:top w:val="nil"/>
              <w:left w:val="nil"/>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 </w:t>
            </w:r>
          </w:p>
        </w:tc>
        <w:tc>
          <w:tcPr>
            <w:tcW w:w="819" w:type="dxa"/>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121 </w:t>
            </w:r>
          </w:p>
        </w:tc>
        <w:tc>
          <w:tcPr>
            <w:tcW w:w="2139" w:type="dxa"/>
            <w:tcBorders>
              <w:top w:val="nil"/>
              <w:left w:val="nil"/>
              <w:bottom w:val="nil"/>
              <w:right w:val="single" w:sz="8" w:space="0" w:color="auto"/>
            </w:tcBorders>
            <w:shd w:val="clear" w:color="auto" w:fill="auto"/>
            <w:noWrap/>
            <w:vAlign w:val="bottom"/>
            <w:hideMark/>
          </w:tcPr>
          <w:p w:rsidR="00B51BA4" w:rsidRDefault="00B51BA4">
            <w:pPr>
              <w:rPr>
                <w:rFonts w:ascii="Arial" w:hAnsi="Arial" w:cs="Arial"/>
                <w:sz w:val="16"/>
                <w:szCs w:val="16"/>
              </w:rPr>
            </w:pPr>
            <w:r>
              <w:rPr>
                <w:rFonts w:ascii="Arial" w:hAnsi="Arial" w:cs="Arial"/>
                <w:sz w:val="16"/>
                <w:szCs w:val="16"/>
              </w:rPr>
              <w:t> </w:t>
            </w:r>
          </w:p>
        </w:tc>
      </w:tr>
      <w:tr w:rsidR="00B51BA4"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 xml:space="preserve">činnost místní správy, </w:t>
            </w:r>
            <w:proofErr w:type="spellStart"/>
            <w:r>
              <w:rPr>
                <w:rFonts w:ascii="Arial" w:hAnsi="Arial" w:cs="Arial"/>
                <w:sz w:val="20"/>
                <w:szCs w:val="20"/>
              </w:rPr>
              <w:t>veřejnospr</w:t>
            </w:r>
            <w:proofErr w:type="spellEnd"/>
            <w:r>
              <w:rPr>
                <w:rFonts w:ascii="Arial" w:hAnsi="Arial" w:cs="Arial"/>
                <w:sz w:val="20"/>
                <w:szCs w:val="20"/>
              </w:rPr>
              <w:t>. smlouvy</w:t>
            </w:r>
          </w:p>
        </w:tc>
        <w:tc>
          <w:tcPr>
            <w:tcW w:w="912" w:type="dxa"/>
            <w:gridSpan w:val="2"/>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74 </w:t>
            </w:r>
          </w:p>
        </w:tc>
        <w:tc>
          <w:tcPr>
            <w:tcW w:w="1095" w:type="dxa"/>
            <w:gridSpan w:val="2"/>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2 740 </w:t>
            </w:r>
          </w:p>
        </w:tc>
        <w:tc>
          <w:tcPr>
            <w:tcW w:w="819" w:type="dxa"/>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2 814 </w:t>
            </w:r>
          </w:p>
        </w:tc>
        <w:tc>
          <w:tcPr>
            <w:tcW w:w="2139" w:type="dxa"/>
            <w:tcBorders>
              <w:top w:val="nil"/>
              <w:left w:val="nil"/>
              <w:bottom w:val="nil"/>
              <w:right w:val="single" w:sz="8" w:space="0" w:color="auto"/>
            </w:tcBorders>
            <w:shd w:val="clear" w:color="auto" w:fill="auto"/>
            <w:noWrap/>
            <w:vAlign w:val="bottom"/>
            <w:hideMark/>
          </w:tcPr>
          <w:p w:rsidR="00B51BA4" w:rsidRDefault="00B51BA4">
            <w:pPr>
              <w:rPr>
                <w:rFonts w:ascii="Arial" w:hAnsi="Arial" w:cs="Arial"/>
                <w:sz w:val="16"/>
                <w:szCs w:val="16"/>
              </w:rPr>
            </w:pPr>
            <w:r>
              <w:rPr>
                <w:rFonts w:ascii="Arial" w:hAnsi="Arial" w:cs="Arial"/>
                <w:sz w:val="16"/>
                <w:szCs w:val="16"/>
              </w:rPr>
              <w:t> </w:t>
            </w:r>
          </w:p>
        </w:tc>
      </w:tr>
      <w:tr w:rsidR="00B51BA4"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B51BA4" w:rsidRDefault="00B51BA4">
            <w:pPr>
              <w:rPr>
                <w:rFonts w:ascii="Arial CE" w:hAnsi="Arial CE" w:cs="Arial CE"/>
                <w:sz w:val="20"/>
                <w:szCs w:val="20"/>
              </w:rPr>
            </w:pPr>
            <w:r>
              <w:rPr>
                <w:rFonts w:ascii="Arial CE" w:hAnsi="Arial CE" w:cs="Arial CE"/>
                <w:sz w:val="20"/>
                <w:szCs w:val="20"/>
              </w:rPr>
              <w:t xml:space="preserve">komunální služby, opravy </w:t>
            </w:r>
            <w:proofErr w:type="spellStart"/>
            <w:r>
              <w:rPr>
                <w:rFonts w:ascii="Arial CE" w:hAnsi="Arial CE" w:cs="Arial CE"/>
                <w:sz w:val="20"/>
                <w:szCs w:val="20"/>
              </w:rPr>
              <w:t>pron</w:t>
            </w:r>
            <w:proofErr w:type="spellEnd"/>
            <w:r>
              <w:rPr>
                <w:rFonts w:ascii="Arial CE" w:hAnsi="Arial CE" w:cs="Arial CE"/>
                <w:sz w:val="20"/>
                <w:szCs w:val="20"/>
              </w:rPr>
              <w:t>. majetku</w:t>
            </w:r>
          </w:p>
        </w:tc>
        <w:tc>
          <w:tcPr>
            <w:tcW w:w="912" w:type="dxa"/>
            <w:gridSpan w:val="2"/>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36 </w:t>
            </w:r>
          </w:p>
        </w:tc>
        <w:tc>
          <w:tcPr>
            <w:tcW w:w="1095" w:type="dxa"/>
            <w:gridSpan w:val="2"/>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486 </w:t>
            </w:r>
          </w:p>
        </w:tc>
        <w:tc>
          <w:tcPr>
            <w:tcW w:w="819" w:type="dxa"/>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522 </w:t>
            </w:r>
          </w:p>
        </w:tc>
        <w:tc>
          <w:tcPr>
            <w:tcW w:w="2139" w:type="dxa"/>
            <w:tcBorders>
              <w:top w:val="nil"/>
              <w:left w:val="nil"/>
              <w:bottom w:val="nil"/>
              <w:right w:val="single" w:sz="8" w:space="0" w:color="auto"/>
            </w:tcBorders>
            <w:shd w:val="clear" w:color="auto" w:fill="auto"/>
            <w:noWrap/>
            <w:vAlign w:val="bottom"/>
            <w:hideMark/>
          </w:tcPr>
          <w:p w:rsidR="00B51BA4" w:rsidRDefault="00B51BA4">
            <w:pPr>
              <w:rPr>
                <w:rFonts w:ascii="Arial" w:hAnsi="Arial" w:cs="Arial"/>
                <w:sz w:val="16"/>
                <w:szCs w:val="16"/>
              </w:rPr>
            </w:pPr>
            <w:r>
              <w:rPr>
                <w:rFonts w:ascii="Arial" w:hAnsi="Arial" w:cs="Arial"/>
                <w:sz w:val="16"/>
                <w:szCs w:val="16"/>
              </w:rPr>
              <w:t> </w:t>
            </w:r>
          </w:p>
        </w:tc>
      </w:tr>
      <w:tr w:rsidR="00B51BA4"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areál služeb</w:t>
            </w:r>
          </w:p>
        </w:tc>
        <w:tc>
          <w:tcPr>
            <w:tcW w:w="912" w:type="dxa"/>
            <w:gridSpan w:val="2"/>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32 </w:t>
            </w:r>
          </w:p>
        </w:tc>
        <w:tc>
          <w:tcPr>
            <w:tcW w:w="1095" w:type="dxa"/>
            <w:gridSpan w:val="2"/>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137 </w:t>
            </w:r>
          </w:p>
        </w:tc>
        <w:tc>
          <w:tcPr>
            <w:tcW w:w="819" w:type="dxa"/>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169 </w:t>
            </w:r>
          </w:p>
        </w:tc>
        <w:tc>
          <w:tcPr>
            <w:tcW w:w="2139" w:type="dxa"/>
            <w:tcBorders>
              <w:top w:val="nil"/>
              <w:left w:val="nil"/>
              <w:bottom w:val="nil"/>
              <w:right w:val="single" w:sz="8" w:space="0" w:color="auto"/>
            </w:tcBorders>
            <w:shd w:val="clear" w:color="auto" w:fill="auto"/>
            <w:noWrap/>
            <w:vAlign w:val="bottom"/>
            <w:hideMark/>
          </w:tcPr>
          <w:p w:rsidR="00B51BA4" w:rsidRDefault="00B51BA4">
            <w:pPr>
              <w:rPr>
                <w:rFonts w:ascii="Arial" w:hAnsi="Arial" w:cs="Arial"/>
                <w:sz w:val="16"/>
                <w:szCs w:val="16"/>
              </w:rPr>
            </w:pPr>
            <w:r>
              <w:rPr>
                <w:rFonts w:ascii="Arial" w:hAnsi="Arial" w:cs="Arial"/>
                <w:sz w:val="16"/>
                <w:szCs w:val="16"/>
              </w:rPr>
              <w:t> </w:t>
            </w:r>
          </w:p>
        </w:tc>
      </w:tr>
      <w:tr w:rsidR="00B51BA4"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bytové hospodářství - nájem, služby</w:t>
            </w:r>
          </w:p>
        </w:tc>
        <w:tc>
          <w:tcPr>
            <w:tcW w:w="912" w:type="dxa"/>
            <w:gridSpan w:val="2"/>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color w:val="FF0000"/>
                <w:sz w:val="20"/>
                <w:szCs w:val="20"/>
              </w:rPr>
              <w:t xml:space="preserve">-631 </w:t>
            </w:r>
          </w:p>
        </w:tc>
        <w:tc>
          <w:tcPr>
            <w:tcW w:w="1095" w:type="dxa"/>
            <w:gridSpan w:val="2"/>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2 057 </w:t>
            </w:r>
          </w:p>
        </w:tc>
        <w:tc>
          <w:tcPr>
            <w:tcW w:w="819" w:type="dxa"/>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1 426 </w:t>
            </w:r>
          </w:p>
        </w:tc>
        <w:tc>
          <w:tcPr>
            <w:tcW w:w="2139" w:type="dxa"/>
            <w:tcBorders>
              <w:top w:val="nil"/>
              <w:left w:val="nil"/>
              <w:bottom w:val="nil"/>
              <w:right w:val="single" w:sz="8" w:space="0" w:color="auto"/>
            </w:tcBorders>
            <w:shd w:val="clear" w:color="auto" w:fill="auto"/>
            <w:noWrap/>
            <w:vAlign w:val="bottom"/>
            <w:hideMark/>
          </w:tcPr>
          <w:p w:rsidR="00B51BA4" w:rsidRDefault="00B51BA4">
            <w:pPr>
              <w:rPr>
                <w:rFonts w:ascii="Arial" w:hAnsi="Arial" w:cs="Arial"/>
                <w:sz w:val="16"/>
                <w:szCs w:val="16"/>
              </w:rPr>
            </w:pPr>
            <w:r>
              <w:rPr>
                <w:rFonts w:ascii="Arial" w:hAnsi="Arial" w:cs="Arial"/>
                <w:sz w:val="16"/>
                <w:szCs w:val="16"/>
              </w:rPr>
              <w:t> </w:t>
            </w:r>
          </w:p>
        </w:tc>
      </w:tr>
      <w:tr w:rsidR="00B51BA4"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sankční platby</w:t>
            </w:r>
          </w:p>
        </w:tc>
        <w:tc>
          <w:tcPr>
            <w:tcW w:w="912" w:type="dxa"/>
            <w:gridSpan w:val="2"/>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color w:val="FF0000"/>
                <w:sz w:val="20"/>
                <w:szCs w:val="20"/>
              </w:rPr>
              <w:t xml:space="preserve">-691 </w:t>
            </w:r>
          </w:p>
        </w:tc>
        <w:tc>
          <w:tcPr>
            <w:tcW w:w="1095" w:type="dxa"/>
            <w:gridSpan w:val="2"/>
            <w:tcBorders>
              <w:top w:val="nil"/>
              <w:left w:val="nil"/>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 </w:t>
            </w:r>
          </w:p>
        </w:tc>
        <w:tc>
          <w:tcPr>
            <w:tcW w:w="819" w:type="dxa"/>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color w:val="FF0000"/>
                <w:sz w:val="20"/>
                <w:szCs w:val="20"/>
              </w:rPr>
              <w:t xml:space="preserve">-691 </w:t>
            </w:r>
          </w:p>
        </w:tc>
        <w:tc>
          <w:tcPr>
            <w:tcW w:w="2139" w:type="dxa"/>
            <w:tcBorders>
              <w:top w:val="nil"/>
              <w:left w:val="nil"/>
              <w:bottom w:val="nil"/>
              <w:right w:val="single" w:sz="8" w:space="0" w:color="auto"/>
            </w:tcBorders>
            <w:shd w:val="clear" w:color="auto" w:fill="auto"/>
            <w:noWrap/>
            <w:vAlign w:val="bottom"/>
            <w:hideMark/>
          </w:tcPr>
          <w:p w:rsidR="00B51BA4" w:rsidRDefault="00B51BA4">
            <w:pPr>
              <w:rPr>
                <w:rFonts w:ascii="Arial" w:hAnsi="Arial" w:cs="Arial"/>
                <w:sz w:val="16"/>
                <w:szCs w:val="16"/>
              </w:rPr>
            </w:pPr>
            <w:r>
              <w:rPr>
                <w:rFonts w:ascii="Arial" w:hAnsi="Arial" w:cs="Arial"/>
                <w:sz w:val="16"/>
                <w:szCs w:val="16"/>
              </w:rPr>
              <w:t> </w:t>
            </w:r>
          </w:p>
        </w:tc>
      </w:tr>
      <w:tr w:rsidR="00B51BA4"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koupaliště</w:t>
            </w:r>
          </w:p>
        </w:tc>
        <w:tc>
          <w:tcPr>
            <w:tcW w:w="912" w:type="dxa"/>
            <w:gridSpan w:val="2"/>
            <w:tcBorders>
              <w:top w:val="nil"/>
              <w:left w:val="nil"/>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 </w:t>
            </w:r>
          </w:p>
        </w:tc>
        <w:tc>
          <w:tcPr>
            <w:tcW w:w="1095" w:type="dxa"/>
            <w:gridSpan w:val="2"/>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10 023 </w:t>
            </w:r>
          </w:p>
        </w:tc>
        <w:tc>
          <w:tcPr>
            <w:tcW w:w="819" w:type="dxa"/>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10 023 </w:t>
            </w:r>
          </w:p>
        </w:tc>
        <w:tc>
          <w:tcPr>
            <w:tcW w:w="2139" w:type="dxa"/>
            <w:tcBorders>
              <w:top w:val="nil"/>
              <w:left w:val="nil"/>
              <w:bottom w:val="nil"/>
              <w:right w:val="single" w:sz="8" w:space="0" w:color="auto"/>
            </w:tcBorders>
            <w:shd w:val="clear" w:color="auto" w:fill="auto"/>
            <w:noWrap/>
            <w:vAlign w:val="bottom"/>
            <w:hideMark/>
          </w:tcPr>
          <w:p w:rsidR="00B51BA4" w:rsidRDefault="00B51BA4">
            <w:pPr>
              <w:rPr>
                <w:rFonts w:ascii="Arial" w:hAnsi="Arial" w:cs="Arial"/>
                <w:sz w:val="16"/>
                <w:szCs w:val="16"/>
              </w:rPr>
            </w:pPr>
            <w:r>
              <w:rPr>
                <w:rFonts w:ascii="Arial" w:hAnsi="Arial" w:cs="Arial"/>
                <w:sz w:val="16"/>
                <w:szCs w:val="16"/>
              </w:rPr>
              <w:t> </w:t>
            </w:r>
          </w:p>
        </w:tc>
      </w:tr>
      <w:tr w:rsidR="00B51BA4"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B51BA4" w:rsidRPr="00D62881" w:rsidRDefault="00B51BA4">
            <w:pPr>
              <w:rPr>
                <w:rFonts w:ascii="Arial CE" w:hAnsi="Arial CE" w:cs="Arial CE"/>
                <w:sz w:val="20"/>
                <w:szCs w:val="20"/>
              </w:rPr>
            </w:pPr>
            <w:r w:rsidRPr="00D62881">
              <w:rPr>
                <w:rFonts w:ascii="Arial CE" w:hAnsi="Arial CE" w:cs="Arial CE"/>
                <w:sz w:val="20"/>
                <w:szCs w:val="20"/>
              </w:rPr>
              <w:t>Chodník Čsl. Legií - zvýšení bezpečnosti</w:t>
            </w:r>
          </w:p>
        </w:tc>
        <w:tc>
          <w:tcPr>
            <w:tcW w:w="912" w:type="dxa"/>
            <w:gridSpan w:val="2"/>
            <w:tcBorders>
              <w:top w:val="nil"/>
              <w:left w:val="nil"/>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 </w:t>
            </w:r>
          </w:p>
        </w:tc>
        <w:tc>
          <w:tcPr>
            <w:tcW w:w="1095" w:type="dxa"/>
            <w:gridSpan w:val="2"/>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11 733 </w:t>
            </w:r>
          </w:p>
        </w:tc>
        <w:tc>
          <w:tcPr>
            <w:tcW w:w="819" w:type="dxa"/>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11 733 </w:t>
            </w:r>
          </w:p>
        </w:tc>
        <w:tc>
          <w:tcPr>
            <w:tcW w:w="2139" w:type="dxa"/>
            <w:tcBorders>
              <w:top w:val="nil"/>
              <w:left w:val="nil"/>
              <w:bottom w:val="nil"/>
              <w:right w:val="single" w:sz="8" w:space="0" w:color="auto"/>
            </w:tcBorders>
            <w:shd w:val="clear" w:color="auto" w:fill="auto"/>
            <w:noWrap/>
            <w:vAlign w:val="bottom"/>
            <w:hideMark/>
          </w:tcPr>
          <w:p w:rsidR="00B51BA4" w:rsidRDefault="00B51BA4">
            <w:pPr>
              <w:rPr>
                <w:rFonts w:ascii="Arial" w:hAnsi="Arial" w:cs="Arial"/>
                <w:sz w:val="16"/>
                <w:szCs w:val="16"/>
              </w:rPr>
            </w:pPr>
            <w:r>
              <w:rPr>
                <w:rFonts w:ascii="Arial" w:hAnsi="Arial" w:cs="Arial"/>
                <w:sz w:val="16"/>
                <w:szCs w:val="16"/>
              </w:rPr>
              <w:t>přesun do r. 2018</w:t>
            </w:r>
          </w:p>
        </w:tc>
      </w:tr>
      <w:tr w:rsidR="00B51BA4"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 xml:space="preserve">projekt Hraběnka </w:t>
            </w:r>
          </w:p>
        </w:tc>
        <w:tc>
          <w:tcPr>
            <w:tcW w:w="912" w:type="dxa"/>
            <w:gridSpan w:val="2"/>
            <w:tcBorders>
              <w:top w:val="nil"/>
              <w:left w:val="nil"/>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 </w:t>
            </w:r>
          </w:p>
        </w:tc>
        <w:tc>
          <w:tcPr>
            <w:tcW w:w="1095" w:type="dxa"/>
            <w:gridSpan w:val="2"/>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6 937 </w:t>
            </w:r>
          </w:p>
        </w:tc>
        <w:tc>
          <w:tcPr>
            <w:tcW w:w="819" w:type="dxa"/>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6 937 </w:t>
            </w:r>
          </w:p>
        </w:tc>
        <w:tc>
          <w:tcPr>
            <w:tcW w:w="2139" w:type="dxa"/>
            <w:tcBorders>
              <w:top w:val="nil"/>
              <w:left w:val="nil"/>
              <w:bottom w:val="nil"/>
              <w:right w:val="single" w:sz="8" w:space="0" w:color="auto"/>
            </w:tcBorders>
            <w:shd w:val="clear" w:color="auto" w:fill="auto"/>
            <w:noWrap/>
            <w:vAlign w:val="bottom"/>
            <w:hideMark/>
          </w:tcPr>
          <w:p w:rsidR="00B51BA4" w:rsidRDefault="00B51BA4">
            <w:pPr>
              <w:rPr>
                <w:rFonts w:ascii="Arial" w:hAnsi="Arial" w:cs="Arial"/>
                <w:sz w:val="16"/>
                <w:szCs w:val="16"/>
              </w:rPr>
            </w:pPr>
            <w:r>
              <w:rPr>
                <w:rFonts w:ascii="Arial" w:hAnsi="Arial" w:cs="Arial"/>
                <w:sz w:val="16"/>
                <w:szCs w:val="16"/>
              </w:rPr>
              <w:t>přesun do r. 2018</w:t>
            </w:r>
          </w:p>
        </w:tc>
      </w:tr>
      <w:tr w:rsidR="00B51BA4"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nečerpané rozpočtové rezervy</w:t>
            </w:r>
          </w:p>
        </w:tc>
        <w:tc>
          <w:tcPr>
            <w:tcW w:w="912" w:type="dxa"/>
            <w:gridSpan w:val="2"/>
            <w:tcBorders>
              <w:top w:val="nil"/>
              <w:left w:val="nil"/>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 </w:t>
            </w:r>
          </w:p>
        </w:tc>
        <w:tc>
          <w:tcPr>
            <w:tcW w:w="1095" w:type="dxa"/>
            <w:gridSpan w:val="2"/>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2 933 </w:t>
            </w:r>
          </w:p>
        </w:tc>
        <w:tc>
          <w:tcPr>
            <w:tcW w:w="819" w:type="dxa"/>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2 933 </w:t>
            </w:r>
          </w:p>
        </w:tc>
        <w:tc>
          <w:tcPr>
            <w:tcW w:w="2139" w:type="dxa"/>
            <w:tcBorders>
              <w:top w:val="nil"/>
              <w:left w:val="nil"/>
              <w:bottom w:val="nil"/>
              <w:right w:val="single" w:sz="8" w:space="0" w:color="auto"/>
            </w:tcBorders>
            <w:shd w:val="clear" w:color="auto" w:fill="auto"/>
            <w:noWrap/>
            <w:vAlign w:val="bottom"/>
            <w:hideMark/>
          </w:tcPr>
          <w:p w:rsidR="00B51BA4" w:rsidRDefault="00B51BA4">
            <w:pPr>
              <w:rPr>
                <w:rFonts w:ascii="Arial" w:hAnsi="Arial" w:cs="Arial"/>
                <w:sz w:val="16"/>
                <w:szCs w:val="16"/>
              </w:rPr>
            </w:pPr>
            <w:r>
              <w:rPr>
                <w:rFonts w:ascii="Arial" w:hAnsi="Arial" w:cs="Arial"/>
                <w:sz w:val="16"/>
                <w:szCs w:val="16"/>
              </w:rPr>
              <w:t> </w:t>
            </w:r>
          </w:p>
        </w:tc>
      </w:tr>
      <w:tr w:rsidR="00B51BA4"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příspěvek SC na závlahový systém</w:t>
            </w:r>
          </w:p>
        </w:tc>
        <w:tc>
          <w:tcPr>
            <w:tcW w:w="912" w:type="dxa"/>
            <w:gridSpan w:val="2"/>
            <w:tcBorders>
              <w:top w:val="nil"/>
              <w:left w:val="nil"/>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 </w:t>
            </w:r>
          </w:p>
        </w:tc>
        <w:tc>
          <w:tcPr>
            <w:tcW w:w="1095" w:type="dxa"/>
            <w:gridSpan w:val="2"/>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2 000 </w:t>
            </w:r>
          </w:p>
        </w:tc>
        <w:tc>
          <w:tcPr>
            <w:tcW w:w="819" w:type="dxa"/>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2 000 </w:t>
            </w:r>
          </w:p>
        </w:tc>
        <w:tc>
          <w:tcPr>
            <w:tcW w:w="2139" w:type="dxa"/>
            <w:tcBorders>
              <w:top w:val="nil"/>
              <w:left w:val="nil"/>
              <w:bottom w:val="nil"/>
              <w:right w:val="single" w:sz="8" w:space="0" w:color="auto"/>
            </w:tcBorders>
            <w:shd w:val="clear" w:color="auto" w:fill="auto"/>
            <w:noWrap/>
            <w:vAlign w:val="bottom"/>
            <w:hideMark/>
          </w:tcPr>
          <w:p w:rsidR="00B51BA4" w:rsidRDefault="00B51BA4">
            <w:pPr>
              <w:rPr>
                <w:rFonts w:ascii="Arial" w:hAnsi="Arial" w:cs="Arial"/>
                <w:sz w:val="16"/>
                <w:szCs w:val="16"/>
              </w:rPr>
            </w:pPr>
            <w:r>
              <w:rPr>
                <w:rFonts w:ascii="Arial" w:hAnsi="Arial" w:cs="Arial"/>
                <w:sz w:val="16"/>
                <w:szCs w:val="16"/>
              </w:rPr>
              <w:t>přesun do r. 2018</w:t>
            </w:r>
          </w:p>
        </w:tc>
      </w:tr>
      <w:tr w:rsidR="00B51BA4"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památková péče</w:t>
            </w:r>
          </w:p>
        </w:tc>
        <w:tc>
          <w:tcPr>
            <w:tcW w:w="912" w:type="dxa"/>
            <w:gridSpan w:val="2"/>
            <w:tcBorders>
              <w:top w:val="nil"/>
              <w:left w:val="nil"/>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 </w:t>
            </w:r>
          </w:p>
        </w:tc>
        <w:tc>
          <w:tcPr>
            <w:tcW w:w="1095" w:type="dxa"/>
            <w:gridSpan w:val="2"/>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1 407 </w:t>
            </w:r>
          </w:p>
        </w:tc>
        <w:tc>
          <w:tcPr>
            <w:tcW w:w="819" w:type="dxa"/>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1 407 </w:t>
            </w:r>
          </w:p>
        </w:tc>
        <w:tc>
          <w:tcPr>
            <w:tcW w:w="2139" w:type="dxa"/>
            <w:tcBorders>
              <w:top w:val="nil"/>
              <w:left w:val="nil"/>
              <w:bottom w:val="nil"/>
              <w:right w:val="single" w:sz="8" w:space="0" w:color="auto"/>
            </w:tcBorders>
            <w:shd w:val="clear" w:color="auto" w:fill="auto"/>
            <w:noWrap/>
            <w:vAlign w:val="bottom"/>
            <w:hideMark/>
          </w:tcPr>
          <w:p w:rsidR="00B51BA4" w:rsidRDefault="00B51BA4">
            <w:pPr>
              <w:rPr>
                <w:rFonts w:ascii="Arial" w:hAnsi="Arial" w:cs="Arial"/>
                <w:sz w:val="16"/>
                <w:szCs w:val="16"/>
              </w:rPr>
            </w:pPr>
            <w:r>
              <w:rPr>
                <w:rFonts w:ascii="Arial" w:hAnsi="Arial" w:cs="Arial"/>
                <w:sz w:val="16"/>
                <w:szCs w:val="16"/>
              </w:rPr>
              <w:t> </w:t>
            </w:r>
          </w:p>
        </w:tc>
      </w:tr>
      <w:tr w:rsidR="00B51BA4"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doprava (údržba, stavby a projekce)</w:t>
            </w:r>
          </w:p>
        </w:tc>
        <w:tc>
          <w:tcPr>
            <w:tcW w:w="912" w:type="dxa"/>
            <w:gridSpan w:val="2"/>
            <w:tcBorders>
              <w:top w:val="nil"/>
              <w:left w:val="nil"/>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 </w:t>
            </w:r>
          </w:p>
        </w:tc>
        <w:tc>
          <w:tcPr>
            <w:tcW w:w="1095" w:type="dxa"/>
            <w:gridSpan w:val="2"/>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1 172 </w:t>
            </w:r>
          </w:p>
        </w:tc>
        <w:tc>
          <w:tcPr>
            <w:tcW w:w="819" w:type="dxa"/>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1 172 </w:t>
            </w:r>
          </w:p>
        </w:tc>
        <w:tc>
          <w:tcPr>
            <w:tcW w:w="2139" w:type="dxa"/>
            <w:tcBorders>
              <w:top w:val="nil"/>
              <w:left w:val="nil"/>
              <w:bottom w:val="nil"/>
              <w:right w:val="single" w:sz="8" w:space="0" w:color="auto"/>
            </w:tcBorders>
            <w:shd w:val="clear" w:color="auto" w:fill="auto"/>
            <w:noWrap/>
            <w:vAlign w:val="bottom"/>
            <w:hideMark/>
          </w:tcPr>
          <w:p w:rsidR="00B51BA4" w:rsidRDefault="00B51BA4">
            <w:pPr>
              <w:rPr>
                <w:rFonts w:ascii="Arial" w:hAnsi="Arial" w:cs="Arial"/>
                <w:sz w:val="16"/>
                <w:szCs w:val="16"/>
              </w:rPr>
            </w:pPr>
            <w:r>
              <w:rPr>
                <w:rFonts w:ascii="Arial" w:hAnsi="Arial" w:cs="Arial"/>
                <w:sz w:val="16"/>
                <w:szCs w:val="16"/>
              </w:rPr>
              <w:t>částečný přesun do r. 2018</w:t>
            </w:r>
          </w:p>
        </w:tc>
      </w:tr>
      <w:tr w:rsidR="00B51BA4"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péče o veřejnou zeleň</w:t>
            </w:r>
          </w:p>
        </w:tc>
        <w:tc>
          <w:tcPr>
            <w:tcW w:w="912" w:type="dxa"/>
            <w:gridSpan w:val="2"/>
            <w:tcBorders>
              <w:top w:val="nil"/>
              <w:left w:val="nil"/>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 </w:t>
            </w:r>
          </w:p>
        </w:tc>
        <w:tc>
          <w:tcPr>
            <w:tcW w:w="1095" w:type="dxa"/>
            <w:gridSpan w:val="2"/>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1 033 </w:t>
            </w:r>
          </w:p>
        </w:tc>
        <w:tc>
          <w:tcPr>
            <w:tcW w:w="819" w:type="dxa"/>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1 033 </w:t>
            </w:r>
          </w:p>
        </w:tc>
        <w:tc>
          <w:tcPr>
            <w:tcW w:w="2139" w:type="dxa"/>
            <w:tcBorders>
              <w:top w:val="nil"/>
              <w:left w:val="nil"/>
              <w:bottom w:val="nil"/>
              <w:right w:val="single" w:sz="8" w:space="0" w:color="auto"/>
            </w:tcBorders>
            <w:shd w:val="clear" w:color="auto" w:fill="auto"/>
            <w:noWrap/>
            <w:vAlign w:val="bottom"/>
            <w:hideMark/>
          </w:tcPr>
          <w:p w:rsidR="00B51BA4" w:rsidRDefault="00B51BA4">
            <w:pPr>
              <w:rPr>
                <w:rFonts w:ascii="Arial" w:hAnsi="Arial" w:cs="Arial"/>
                <w:sz w:val="16"/>
                <w:szCs w:val="16"/>
              </w:rPr>
            </w:pPr>
            <w:r>
              <w:rPr>
                <w:rFonts w:ascii="Arial" w:hAnsi="Arial" w:cs="Arial"/>
                <w:sz w:val="16"/>
                <w:szCs w:val="16"/>
              </w:rPr>
              <w:t> </w:t>
            </w:r>
          </w:p>
        </w:tc>
      </w:tr>
      <w:tr w:rsidR="00B51BA4"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opravy budov škol</w:t>
            </w:r>
          </w:p>
        </w:tc>
        <w:tc>
          <w:tcPr>
            <w:tcW w:w="912" w:type="dxa"/>
            <w:gridSpan w:val="2"/>
            <w:tcBorders>
              <w:top w:val="nil"/>
              <w:left w:val="nil"/>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 </w:t>
            </w:r>
          </w:p>
        </w:tc>
        <w:tc>
          <w:tcPr>
            <w:tcW w:w="1095" w:type="dxa"/>
            <w:gridSpan w:val="2"/>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1 028 </w:t>
            </w:r>
          </w:p>
        </w:tc>
        <w:tc>
          <w:tcPr>
            <w:tcW w:w="819" w:type="dxa"/>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1 028 </w:t>
            </w:r>
          </w:p>
        </w:tc>
        <w:tc>
          <w:tcPr>
            <w:tcW w:w="2139" w:type="dxa"/>
            <w:tcBorders>
              <w:top w:val="nil"/>
              <w:left w:val="nil"/>
              <w:bottom w:val="nil"/>
              <w:right w:val="single" w:sz="8" w:space="0" w:color="auto"/>
            </w:tcBorders>
            <w:shd w:val="clear" w:color="auto" w:fill="auto"/>
            <w:noWrap/>
            <w:vAlign w:val="bottom"/>
            <w:hideMark/>
          </w:tcPr>
          <w:p w:rsidR="00B51BA4" w:rsidRDefault="00B51BA4">
            <w:pPr>
              <w:rPr>
                <w:rFonts w:ascii="Arial" w:hAnsi="Arial" w:cs="Arial"/>
                <w:sz w:val="16"/>
                <w:szCs w:val="16"/>
              </w:rPr>
            </w:pPr>
            <w:r>
              <w:rPr>
                <w:rFonts w:ascii="Arial" w:hAnsi="Arial" w:cs="Arial"/>
                <w:sz w:val="16"/>
                <w:szCs w:val="16"/>
              </w:rPr>
              <w:t>přesun do r. 2018</w:t>
            </w:r>
          </w:p>
        </w:tc>
      </w:tr>
      <w:tr w:rsidR="00B51BA4"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projekt odpadový systém, kompostárna</w:t>
            </w:r>
          </w:p>
        </w:tc>
        <w:tc>
          <w:tcPr>
            <w:tcW w:w="912" w:type="dxa"/>
            <w:gridSpan w:val="2"/>
            <w:tcBorders>
              <w:top w:val="nil"/>
              <w:left w:val="nil"/>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 </w:t>
            </w:r>
          </w:p>
        </w:tc>
        <w:tc>
          <w:tcPr>
            <w:tcW w:w="1095" w:type="dxa"/>
            <w:gridSpan w:val="2"/>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570 </w:t>
            </w:r>
          </w:p>
        </w:tc>
        <w:tc>
          <w:tcPr>
            <w:tcW w:w="819" w:type="dxa"/>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570 </w:t>
            </w:r>
          </w:p>
        </w:tc>
        <w:tc>
          <w:tcPr>
            <w:tcW w:w="2139" w:type="dxa"/>
            <w:tcBorders>
              <w:top w:val="nil"/>
              <w:left w:val="nil"/>
              <w:bottom w:val="nil"/>
              <w:right w:val="single" w:sz="8" w:space="0" w:color="auto"/>
            </w:tcBorders>
            <w:shd w:val="clear" w:color="auto" w:fill="auto"/>
            <w:noWrap/>
            <w:vAlign w:val="bottom"/>
            <w:hideMark/>
          </w:tcPr>
          <w:p w:rsidR="00B51BA4" w:rsidRDefault="00B51BA4">
            <w:pPr>
              <w:rPr>
                <w:rFonts w:ascii="Arial" w:hAnsi="Arial" w:cs="Arial"/>
                <w:sz w:val="16"/>
                <w:szCs w:val="16"/>
              </w:rPr>
            </w:pPr>
            <w:r>
              <w:rPr>
                <w:rFonts w:ascii="Arial" w:hAnsi="Arial" w:cs="Arial"/>
                <w:sz w:val="16"/>
                <w:szCs w:val="16"/>
              </w:rPr>
              <w:t> </w:t>
            </w:r>
          </w:p>
        </w:tc>
      </w:tr>
      <w:tr w:rsidR="00B51BA4"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výkup pozemků</w:t>
            </w:r>
          </w:p>
        </w:tc>
        <w:tc>
          <w:tcPr>
            <w:tcW w:w="912" w:type="dxa"/>
            <w:gridSpan w:val="2"/>
            <w:tcBorders>
              <w:top w:val="nil"/>
              <w:left w:val="nil"/>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 </w:t>
            </w:r>
          </w:p>
        </w:tc>
        <w:tc>
          <w:tcPr>
            <w:tcW w:w="1095" w:type="dxa"/>
            <w:gridSpan w:val="2"/>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388 </w:t>
            </w:r>
          </w:p>
        </w:tc>
        <w:tc>
          <w:tcPr>
            <w:tcW w:w="819" w:type="dxa"/>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388 </w:t>
            </w:r>
          </w:p>
        </w:tc>
        <w:tc>
          <w:tcPr>
            <w:tcW w:w="2139" w:type="dxa"/>
            <w:tcBorders>
              <w:top w:val="nil"/>
              <w:left w:val="nil"/>
              <w:bottom w:val="nil"/>
              <w:right w:val="single" w:sz="8" w:space="0" w:color="auto"/>
            </w:tcBorders>
            <w:shd w:val="clear" w:color="auto" w:fill="auto"/>
            <w:noWrap/>
            <w:vAlign w:val="bottom"/>
            <w:hideMark/>
          </w:tcPr>
          <w:p w:rsidR="00B51BA4" w:rsidRDefault="00B51BA4">
            <w:pPr>
              <w:rPr>
                <w:rFonts w:ascii="Arial" w:hAnsi="Arial" w:cs="Arial"/>
                <w:sz w:val="16"/>
                <w:szCs w:val="16"/>
              </w:rPr>
            </w:pPr>
            <w:r>
              <w:rPr>
                <w:rFonts w:ascii="Arial" w:hAnsi="Arial" w:cs="Arial"/>
                <w:sz w:val="16"/>
                <w:szCs w:val="16"/>
              </w:rPr>
              <w:t> </w:t>
            </w:r>
          </w:p>
        </w:tc>
      </w:tr>
      <w:tr w:rsidR="00B51BA4" w:rsidTr="00B51BA4">
        <w:trPr>
          <w:trHeight w:val="255"/>
        </w:trPr>
        <w:tc>
          <w:tcPr>
            <w:tcW w:w="4126" w:type="dxa"/>
            <w:tcBorders>
              <w:top w:val="nil"/>
              <w:left w:val="single" w:sz="4" w:space="0" w:color="auto"/>
              <w:bottom w:val="nil"/>
              <w:right w:val="nil"/>
            </w:tcBorders>
            <w:shd w:val="clear" w:color="auto" w:fill="auto"/>
            <w:noWrap/>
            <w:vAlign w:val="bottom"/>
            <w:hideMark/>
          </w:tcPr>
          <w:p w:rsidR="00B51BA4" w:rsidRDefault="00B51BA4">
            <w:pPr>
              <w:rPr>
                <w:rFonts w:ascii="Arial CE" w:hAnsi="Arial CE" w:cs="Arial CE"/>
                <w:sz w:val="20"/>
                <w:szCs w:val="20"/>
              </w:rPr>
            </w:pPr>
            <w:r>
              <w:rPr>
                <w:rFonts w:ascii="Arial CE" w:hAnsi="Arial CE" w:cs="Arial CE"/>
                <w:sz w:val="20"/>
                <w:szCs w:val="20"/>
              </w:rPr>
              <w:t>krizové řízení, požární ochrana</w:t>
            </w:r>
          </w:p>
        </w:tc>
        <w:tc>
          <w:tcPr>
            <w:tcW w:w="912" w:type="dxa"/>
            <w:gridSpan w:val="2"/>
            <w:tcBorders>
              <w:top w:val="nil"/>
              <w:left w:val="single" w:sz="4" w:space="0" w:color="auto"/>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 </w:t>
            </w:r>
          </w:p>
        </w:tc>
        <w:tc>
          <w:tcPr>
            <w:tcW w:w="1095" w:type="dxa"/>
            <w:gridSpan w:val="2"/>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356 </w:t>
            </w:r>
          </w:p>
        </w:tc>
        <w:tc>
          <w:tcPr>
            <w:tcW w:w="819" w:type="dxa"/>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356 </w:t>
            </w:r>
          </w:p>
        </w:tc>
        <w:tc>
          <w:tcPr>
            <w:tcW w:w="2139" w:type="dxa"/>
            <w:tcBorders>
              <w:top w:val="nil"/>
              <w:left w:val="nil"/>
              <w:bottom w:val="nil"/>
              <w:right w:val="single" w:sz="8" w:space="0" w:color="auto"/>
            </w:tcBorders>
            <w:shd w:val="clear" w:color="auto" w:fill="auto"/>
            <w:noWrap/>
            <w:vAlign w:val="bottom"/>
            <w:hideMark/>
          </w:tcPr>
          <w:p w:rsidR="00B51BA4" w:rsidRDefault="00B51BA4">
            <w:pPr>
              <w:rPr>
                <w:rFonts w:ascii="Arial" w:hAnsi="Arial" w:cs="Arial"/>
                <w:sz w:val="16"/>
                <w:szCs w:val="16"/>
              </w:rPr>
            </w:pPr>
            <w:r>
              <w:rPr>
                <w:rFonts w:ascii="Arial" w:hAnsi="Arial" w:cs="Arial"/>
                <w:sz w:val="16"/>
                <w:szCs w:val="16"/>
              </w:rPr>
              <w:t> </w:t>
            </w:r>
          </w:p>
        </w:tc>
      </w:tr>
      <w:tr w:rsidR="00B51BA4"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projekty</w:t>
            </w:r>
          </w:p>
        </w:tc>
        <w:tc>
          <w:tcPr>
            <w:tcW w:w="912" w:type="dxa"/>
            <w:gridSpan w:val="2"/>
            <w:tcBorders>
              <w:top w:val="nil"/>
              <w:left w:val="nil"/>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 </w:t>
            </w:r>
          </w:p>
        </w:tc>
        <w:tc>
          <w:tcPr>
            <w:tcW w:w="1095" w:type="dxa"/>
            <w:gridSpan w:val="2"/>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282 </w:t>
            </w:r>
          </w:p>
        </w:tc>
        <w:tc>
          <w:tcPr>
            <w:tcW w:w="819" w:type="dxa"/>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282 </w:t>
            </w:r>
          </w:p>
        </w:tc>
        <w:tc>
          <w:tcPr>
            <w:tcW w:w="2139" w:type="dxa"/>
            <w:tcBorders>
              <w:top w:val="nil"/>
              <w:left w:val="nil"/>
              <w:bottom w:val="nil"/>
              <w:right w:val="single" w:sz="8" w:space="0" w:color="auto"/>
            </w:tcBorders>
            <w:shd w:val="clear" w:color="auto" w:fill="auto"/>
            <w:noWrap/>
            <w:vAlign w:val="bottom"/>
            <w:hideMark/>
          </w:tcPr>
          <w:p w:rsidR="00B51BA4" w:rsidRDefault="00B51BA4">
            <w:pPr>
              <w:rPr>
                <w:rFonts w:ascii="Arial" w:hAnsi="Arial" w:cs="Arial"/>
                <w:sz w:val="16"/>
                <w:szCs w:val="16"/>
              </w:rPr>
            </w:pPr>
            <w:r>
              <w:rPr>
                <w:rFonts w:ascii="Arial" w:hAnsi="Arial" w:cs="Arial"/>
                <w:sz w:val="16"/>
                <w:szCs w:val="16"/>
              </w:rPr>
              <w:t> </w:t>
            </w:r>
          </w:p>
        </w:tc>
      </w:tr>
      <w:tr w:rsidR="00B51BA4"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pohřebnictví, kolumbárium</w:t>
            </w:r>
          </w:p>
        </w:tc>
        <w:tc>
          <w:tcPr>
            <w:tcW w:w="912" w:type="dxa"/>
            <w:gridSpan w:val="2"/>
            <w:tcBorders>
              <w:top w:val="nil"/>
              <w:left w:val="nil"/>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 </w:t>
            </w:r>
          </w:p>
        </w:tc>
        <w:tc>
          <w:tcPr>
            <w:tcW w:w="1095" w:type="dxa"/>
            <w:gridSpan w:val="2"/>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200 </w:t>
            </w:r>
          </w:p>
        </w:tc>
        <w:tc>
          <w:tcPr>
            <w:tcW w:w="819" w:type="dxa"/>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200 </w:t>
            </w:r>
          </w:p>
        </w:tc>
        <w:tc>
          <w:tcPr>
            <w:tcW w:w="2139" w:type="dxa"/>
            <w:tcBorders>
              <w:top w:val="nil"/>
              <w:left w:val="nil"/>
              <w:bottom w:val="nil"/>
              <w:right w:val="single" w:sz="8" w:space="0" w:color="auto"/>
            </w:tcBorders>
            <w:shd w:val="clear" w:color="auto" w:fill="auto"/>
            <w:noWrap/>
            <w:vAlign w:val="bottom"/>
            <w:hideMark/>
          </w:tcPr>
          <w:p w:rsidR="00B51BA4" w:rsidRDefault="00B51BA4">
            <w:pPr>
              <w:rPr>
                <w:rFonts w:ascii="Arial" w:hAnsi="Arial" w:cs="Arial"/>
                <w:sz w:val="16"/>
                <w:szCs w:val="16"/>
              </w:rPr>
            </w:pPr>
            <w:r>
              <w:rPr>
                <w:rFonts w:ascii="Arial" w:hAnsi="Arial" w:cs="Arial"/>
                <w:sz w:val="16"/>
                <w:szCs w:val="16"/>
              </w:rPr>
              <w:t>přesun do r. 2018</w:t>
            </w:r>
          </w:p>
        </w:tc>
      </w:tr>
      <w:tr w:rsidR="00B51BA4"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zámecký park - podium, cesty</w:t>
            </w:r>
          </w:p>
        </w:tc>
        <w:tc>
          <w:tcPr>
            <w:tcW w:w="912" w:type="dxa"/>
            <w:gridSpan w:val="2"/>
            <w:tcBorders>
              <w:top w:val="nil"/>
              <w:left w:val="nil"/>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 </w:t>
            </w:r>
          </w:p>
        </w:tc>
        <w:tc>
          <w:tcPr>
            <w:tcW w:w="1095" w:type="dxa"/>
            <w:gridSpan w:val="2"/>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150 </w:t>
            </w:r>
          </w:p>
        </w:tc>
        <w:tc>
          <w:tcPr>
            <w:tcW w:w="819" w:type="dxa"/>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150 </w:t>
            </w:r>
          </w:p>
        </w:tc>
        <w:tc>
          <w:tcPr>
            <w:tcW w:w="2139" w:type="dxa"/>
            <w:tcBorders>
              <w:top w:val="nil"/>
              <w:left w:val="nil"/>
              <w:bottom w:val="nil"/>
              <w:right w:val="single" w:sz="8" w:space="0" w:color="auto"/>
            </w:tcBorders>
            <w:shd w:val="clear" w:color="auto" w:fill="auto"/>
            <w:noWrap/>
            <w:vAlign w:val="bottom"/>
            <w:hideMark/>
          </w:tcPr>
          <w:p w:rsidR="00B51BA4" w:rsidRDefault="00B51BA4">
            <w:pPr>
              <w:rPr>
                <w:rFonts w:ascii="Arial" w:hAnsi="Arial" w:cs="Arial"/>
                <w:sz w:val="16"/>
                <w:szCs w:val="16"/>
              </w:rPr>
            </w:pPr>
            <w:r>
              <w:rPr>
                <w:rFonts w:ascii="Arial" w:hAnsi="Arial" w:cs="Arial"/>
                <w:sz w:val="16"/>
                <w:szCs w:val="16"/>
              </w:rPr>
              <w:t>přesun do r. 2018</w:t>
            </w:r>
          </w:p>
        </w:tc>
      </w:tr>
      <w:tr w:rsidR="00B51BA4"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 xml:space="preserve">územní plán, územní rozvoj, </w:t>
            </w:r>
            <w:proofErr w:type="spellStart"/>
            <w:r>
              <w:rPr>
                <w:rFonts w:ascii="Arial" w:hAnsi="Arial" w:cs="Arial"/>
                <w:sz w:val="20"/>
                <w:szCs w:val="20"/>
              </w:rPr>
              <w:t>inf</w:t>
            </w:r>
            <w:proofErr w:type="spellEnd"/>
            <w:r>
              <w:rPr>
                <w:rFonts w:ascii="Arial" w:hAnsi="Arial" w:cs="Arial"/>
                <w:sz w:val="20"/>
                <w:szCs w:val="20"/>
              </w:rPr>
              <w:t>. systém</w:t>
            </w:r>
          </w:p>
        </w:tc>
        <w:tc>
          <w:tcPr>
            <w:tcW w:w="912" w:type="dxa"/>
            <w:gridSpan w:val="2"/>
            <w:tcBorders>
              <w:top w:val="nil"/>
              <w:left w:val="nil"/>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 </w:t>
            </w:r>
          </w:p>
        </w:tc>
        <w:tc>
          <w:tcPr>
            <w:tcW w:w="1095" w:type="dxa"/>
            <w:gridSpan w:val="2"/>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141 </w:t>
            </w:r>
          </w:p>
        </w:tc>
        <w:tc>
          <w:tcPr>
            <w:tcW w:w="819" w:type="dxa"/>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141 </w:t>
            </w:r>
          </w:p>
        </w:tc>
        <w:tc>
          <w:tcPr>
            <w:tcW w:w="2139" w:type="dxa"/>
            <w:tcBorders>
              <w:top w:val="nil"/>
              <w:left w:val="nil"/>
              <w:bottom w:val="nil"/>
              <w:right w:val="single" w:sz="8" w:space="0" w:color="auto"/>
            </w:tcBorders>
            <w:shd w:val="clear" w:color="auto" w:fill="auto"/>
            <w:noWrap/>
            <w:vAlign w:val="bottom"/>
            <w:hideMark/>
          </w:tcPr>
          <w:p w:rsidR="00B51BA4" w:rsidRDefault="00B51BA4">
            <w:pPr>
              <w:rPr>
                <w:rFonts w:ascii="Arial" w:hAnsi="Arial" w:cs="Arial"/>
                <w:sz w:val="16"/>
                <w:szCs w:val="16"/>
              </w:rPr>
            </w:pPr>
            <w:r>
              <w:rPr>
                <w:rFonts w:ascii="Arial" w:hAnsi="Arial" w:cs="Arial"/>
                <w:sz w:val="16"/>
                <w:szCs w:val="16"/>
              </w:rPr>
              <w:t> </w:t>
            </w:r>
          </w:p>
        </w:tc>
      </w:tr>
      <w:tr w:rsidR="00B51BA4" w:rsidTr="00B51BA4">
        <w:trPr>
          <w:trHeight w:val="255"/>
        </w:trPr>
        <w:tc>
          <w:tcPr>
            <w:tcW w:w="4126" w:type="dxa"/>
            <w:tcBorders>
              <w:top w:val="nil"/>
              <w:left w:val="single" w:sz="8" w:space="0" w:color="auto"/>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výdaje za prodej majetku, pojištění</w:t>
            </w:r>
          </w:p>
        </w:tc>
        <w:tc>
          <w:tcPr>
            <w:tcW w:w="912" w:type="dxa"/>
            <w:gridSpan w:val="2"/>
            <w:tcBorders>
              <w:top w:val="nil"/>
              <w:left w:val="nil"/>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 </w:t>
            </w:r>
          </w:p>
        </w:tc>
        <w:tc>
          <w:tcPr>
            <w:tcW w:w="1095" w:type="dxa"/>
            <w:gridSpan w:val="2"/>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134 </w:t>
            </w:r>
          </w:p>
        </w:tc>
        <w:tc>
          <w:tcPr>
            <w:tcW w:w="819" w:type="dxa"/>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134 </w:t>
            </w:r>
          </w:p>
        </w:tc>
        <w:tc>
          <w:tcPr>
            <w:tcW w:w="2139" w:type="dxa"/>
            <w:tcBorders>
              <w:top w:val="nil"/>
              <w:left w:val="nil"/>
              <w:bottom w:val="nil"/>
              <w:right w:val="single" w:sz="8" w:space="0" w:color="auto"/>
            </w:tcBorders>
            <w:shd w:val="clear" w:color="auto" w:fill="auto"/>
            <w:noWrap/>
            <w:vAlign w:val="bottom"/>
            <w:hideMark/>
          </w:tcPr>
          <w:p w:rsidR="00B51BA4" w:rsidRDefault="00B51BA4">
            <w:pPr>
              <w:rPr>
                <w:rFonts w:ascii="Arial" w:hAnsi="Arial" w:cs="Arial"/>
                <w:sz w:val="16"/>
                <w:szCs w:val="16"/>
              </w:rPr>
            </w:pPr>
            <w:r>
              <w:rPr>
                <w:rFonts w:ascii="Arial" w:hAnsi="Arial" w:cs="Arial"/>
                <w:sz w:val="16"/>
                <w:szCs w:val="16"/>
              </w:rPr>
              <w:t> </w:t>
            </w:r>
          </w:p>
        </w:tc>
      </w:tr>
      <w:tr w:rsidR="00B51BA4" w:rsidTr="00B51BA4">
        <w:trPr>
          <w:trHeight w:val="270"/>
        </w:trPr>
        <w:tc>
          <w:tcPr>
            <w:tcW w:w="4126" w:type="dxa"/>
            <w:tcBorders>
              <w:top w:val="nil"/>
              <w:left w:val="single" w:sz="8" w:space="0" w:color="auto"/>
              <w:bottom w:val="nil"/>
              <w:right w:val="single" w:sz="4"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ostatní</w:t>
            </w:r>
          </w:p>
        </w:tc>
        <w:tc>
          <w:tcPr>
            <w:tcW w:w="912" w:type="dxa"/>
            <w:gridSpan w:val="2"/>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33 </w:t>
            </w:r>
          </w:p>
        </w:tc>
        <w:tc>
          <w:tcPr>
            <w:tcW w:w="1095" w:type="dxa"/>
            <w:gridSpan w:val="2"/>
            <w:tcBorders>
              <w:top w:val="nil"/>
              <w:left w:val="nil"/>
              <w:bottom w:val="single" w:sz="8" w:space="0" w:color="auto"/>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152 </w:t>
            </w:r>
          </w:p>
        </w:tc>
        <w:tc>
          <w:tcPr>
            <w:tcW w:w="819" w:type="dxa"/>
            <w:tcBorders>
              <w:top w:val="nil"/>
              <w:left w:val="nil"/>
              <w:bottom w:val="nil"/>
              <w:right w:val="single" w:sz="4" w:space="0" w:color="auto"/>
            </w:tcBorders>
            <w:shd w:val="clear" w:color="auto" w:fill="auto"/>
            <w:noWrap/>
            <w:vAlign w:val="bottom"/>
            <w:hideMark/>
          </w:tcPr>
          <w:p w:rsidR="00B51BA4" w:rsidRDefault="00B51BA4">
            <w:pPr>
              <w:jc w:val="right"/>
              <w:rPr>
                <w:rFonts w:ascii="Arial" w:hAnsi="Arial" w:cs="Arial"/>
                <w:sz w:val="20"/>
                <w:szCs w:val="20"/>
              </w:rPr>
            </w:pPr>
            <w:r>
              <w:rPr>
                <w:rFonts w:ascii="Arial" w:hAnsi="Arial" w:cs="Arial"/>
                <w:sz w:val="20"/>
                <w:szCs w:val="20"/>
              </w:rPr>
              <w:t xml:space="preserve">185 </w:t>
            </w:r>
          </w:p>
        </w:tc>
        <w:tc>
          <w:tcPr>
            <w:tcW w:w="2139" w:type="dxa"/>
            <w:tcBorders>
              <w:top w:val="nil"/>
              <w:left w:val="nil"/>
              <w:bottom w:val="nil"/>
              <w:right w:val="single" w:sz="8" w:space="0" w:color="auto"/>
            </w:tcBorders>
            <w:shd w:val="clear" w:color="auto" w:fill="auto"/>
            <w:noWrap/>
            <w:vAlign w:val="bottom"/>
            <w:hideMark/>
          </w:tcPr>
          <w:p w:rsidR="00B51BA4" w:rsidRDefault="00B51BA4">
            <w:pPr>
              <w:rPr>
                <w:rFonts w:ascii="Arial" w:hAnsi="Arial" w:cs="Arial"/>
                <w:sz w:val="16"/>
                <w:szCs w:val="16"/>
              </w:rPr>
            </w:pPr>
            <w:r>
              <w:rPr>
                <w:rFonts w:ascii="Arial" w:hAnsi="Arial" w:cs="Arial"/>
                <w:sz w:val="16"/>
                <w:szCs w:val="16"/>
              </w:rPr>
              <w:t> </w:t>
            </w:r>
          </w:p>
        </w:tc>
      </w:tr>
      <w:tr w:rsidR="00B51BA4" w:rsidTr="00B51BA4">
        <w:trPr>
          <w:trHeight w:val="270"/>
        </w:trPr>
        <w:tc>
          <w:tcPr>
            <w:tcW w:w="412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51BA4" w:rsidRDefault="00B51BA4">
            <w:pPr>
              <w:rPr>
                <w:rFonts w:ascii="Arial" w:hAnsi="Arial" w:cs="Arial"/>
                <w:b/>
                <w:bCs/>
                <w:sz w:val="20"/>
                <w:szCs w:val="20"/>
              </w:rPr>
            </w:pPr>
            <w:r>
              <w:rPr>
                <w:rFonts w:ascii="Arial" w:hAnsi="Arial" w:cs="Arial"/>
                <w:b/>
                <w:bCs/>
                <w:sz w:val="20"/>
                <w:szCs w:val="20"/>
              </w:rPr>
              <w:t>celkem</w:t>
            </w:r>
          </w:p>
        </w:tc>
        <w:tc>
          <w:tcPr>
            <w:tcW w:w="912" w:type="dxa"/>
            <w:gridSpan w:val="2"/>
            <w:tcBorders>
              <w:top w:val="single" w:sz="8" w:space="0" w:color="auto"/>
              <w:left w:val="nil"/>
              <w:bottom w:val="single" w:sz="8" w:space="0" w:color="auto"/>
              <w:right w:val="single" w:sz="4" w:space="0" w:color="auto"/>
            </w:tcBorders>
            <w:shd w:val="clear" w:color="auto" w:fill="auto"/>
            <w:noWrap/>
            <w:vAlign w:val="bottom"/>
            <w:hideMark/>
          </w:tcPr>
          <w:p w:rsidR="00B51BA4" w:rsidRDefault="00B51BA4">
            <w:pPr>
              <w:jc w:val="right"/>
              <w:rPr>
                <w:rFonts w:ascii="Arial" w:hAnsi="Arial" w:cs="Arial"/>
                <w:b/>
                <w:bCs/>
                <w:sz w:val="20"/>
                <w:szCs w:val="20"/>
              </w:rPr>
            </w:pPr>
            <w:r>
              <w:rPr>
                <w:rFonts w:ascii="Arial" w:hAnsi="Arial" w:cs="Arial"/>
                <w:b/>
                <w:bCs/>
                <w:sz w:val="20"/>
                <w:szCs w:val="20"/>
              </w:rPr>
              <w:t xml:space="preserve">10 040 </w:t>
            </w:r>
          </w:p>
        </w:tc>
        <w:tc>
          <w:tcPr>
            <w:tcW w:w="1095" w:type="dxa"/>
            <w:gridSpan w:val="2"/>
            <w:tcBorders>
              <w:top w:val="nil"/>
              <w:left w:val="nil"/>
              <w:bottom w:val="single" w:sz="8" w:space="0" w:color="auto"/>
              <w:right w:val="single" w:sz="4" w:space="0" w:color="auto"/>
            </w:tcBorders>
            <w:shd w:val="clear" w:color="auto" w:fill="auto"/>
            <w:noWrap/>
            <w:vAlign w:val="bottom"/>
            <w:hideMark/>
          </w:tcPr>
          <w:p w:rsidR="00B51BA4" w:rsidRDefault="00B51BA4">
            <w:pPr>
              <w:jc w:val="right"/>
              <w:rPr>
                <w:rFonts w:ascii="Arial" w:hAnsi="Arial" w:cs="Arial"/>
                <w:b/>
                <w:bCs/>
                <w:sz w:val="20"/>
                <w:szCs w:val="20"/>
              </w:rPr>
            </w:pPr>
            <w:r>
              <w:rPr>
                <w:rFonts w:ascii="Arial" w:hAnsi="Arial" w:cs="Arial"/>
                <w:b/>
                <w:bCs/>
                <w:sz w:val="20"/>
                <w:szCs w:val="20"/>
              </w:rPr>
              <w:t xml:space="preserve">47 076 </w:t>
            </w:r>
          </w:p>
        </w:tc>
        <w:tc>
          <w:tcPr>
            <w:tcW w:w="819" w:type="dxa"/>
            <w:tcBorders>
              <w:top w:val="single" w:sz="8" w:space="0" w:color="auto"/>
              <w:left w:val="nil"/>
              <w:bottom w:val="single" w:sz="8" w:space="0" w:color="auto"/>
              <w:right w:val="single" w:sz="4" w:space="0" w:color="auto"/>
            </w:tcBorders>
            <w:shd w:val="clear" w:color="auto" w:fill="auto"/>
            <w:noWrap/>
            <w:vAlign w:val="bottom"/>
            <w:hideMark/>
          </w:tcPr>
          <w:p w:rsidR="00B51BA4" w:rsidRDefault="00B51BA4">
            <w:pPr>
              <w:jc w:val="right"/>
              <w:rPr>
                <w:rFonts w:ascii="Arial" w:hAnsi="Arial" w:cs="Arial"/>
                <w:b/>
                <w:bCs/>
                <w:sz w:val="20"/>
                <w:szCs w:val="20"/>
              </w:rPr>
            </w:pPr>
            <w:r>
              <w:rPr>
                <w:rFonts w:ascii="Arial" w:hAnsi="Arial" w:cs="Arial"/>
                <w:b/>
                <w:bCs/>
                <w:sz w:val="20"/>
                <w:szCs w:val="20"/>
              </w:rPr>
              <w:t>57 116</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 </w:t>
            </w:r>
          </w:p>
        </w:tc>
      </w:tr>
    </w:tbl>
    <w:p w:rsidR="00B51BA4" w:rsidRDefault="00B51BA4" w:rsidP="00ED41BA">
      <w:pPr>
        <w:ind w:left="170" w:firstLine="311"/>
        <w:jc w:val="both"/>
        <w:rPr>
          <w:i/>
          <w:sz w:val="20"/>
          <w:szCs w:val="20"/>
        </w:rPr>
      </w:pPr>
    </w:p>
    <w:p w:rsidR="00B51BA4" w:rsidRDefault="00B51BA4" w:rsidP="00ED41BA">
      <w:pPr>
        <w:ind w:left="170" w:firstLine="311"/>
        <w:jc w:val="both"/>
        <w:rPr>
          <w:i/>
          <w:sz w:val="20"/>
          <w:szCs w:val="20"/>
        </w:rPr>
      </w:pPr>
    </w:p>
    <w:p w:rsidR="00B51BA4" w:rsidRDefault="00B51BA4" w:rsidP="00ED41BA">
      <w:pPr>
        <w:ind w:left="170" w:firstLine="311"/>
        <w:jc w:val="both"/>
        <w:rPr>
          <w:i/>
          <w:sz w:val="20"/>
          <w:szCs w:val="20"/>
        </w:rPr>
      </w:pPr>
    </w:p>
    <w:p w:rsidR="00B51BA4" w:rsidRDefault="00B51BA4" w:rsidP="00ED41BA">
      <w:pPr>
        <w:ind w:left="170" w:firstLine="311"/>
        <w:jc w:val="both"/>
        <w:rPr>
          <w:i/>
          <w:sz w:val="20"/>
          <w:szCs w:val="20"/>
        </w:rPr>
      </w:pPr>
    </w:p>
    <w:p w:rsidR="00B51BA4" w:rsidRDefault="00B51BA4" w:rsidP="00ED41BA">
      <w:pPr>
        <w:ind w:left="170" w:firstLine="311"/>
        <w:jc w:val="both"/>
        <w:rPr>
          <w:i/>
          <w:sz w:val="20"/>
          <w:szCs w:val="20"/>
        </w:rPr>
      </w:pPr>
    </w:p>
    <w:p w:rsidR="00B51BA4" w:rsidRDefault="00B51BA4" w:rsidP="00ED41BA">
      <w:pPr>
        <w:ind w:left="170" w:firstLine="311"/>
        <w:jc w:val="both"/>
        <w:rPr>
          <w:i/>
          <w:sz w:val="20"/>
          <w:szCs w:val="20"/>
        </w:rPr>
      </w:pPr>
    </w:p>
    <w:p w:rsidR="00B51BA4" w:rsidRDefault="00B51BA4" w:rsidP="00ED41BA">
      <w:pPr>
        <w:ind w:left="170" w:firstLine="311"/>
        <w:jc w:val="both"/>
        <w:rPr>
          <w:i/>
          <w:sz w:val="20"/>
          <w:szCs w:val="20"/>
        </w:rPr>
      </w:pPr>
    </w:p>
    <w:p w:rsidR="00B51BA4" w:rsidRDefault="00B51BA4" w:rsidP="00ED41BA">
      <w:pPr>
        <w:ind w:left="170" w:firstLine="311"/>
        <w:jc w:val="both"/>
        <w:rPr>
          <w:i/>
          <w:sz w:val="20"/>
          <w:szCs w:val="20"/>
        </w:rPr>
      </w:pPr>
    </w:p>
    <w:p w:rsidR="00B51BA4" w:rsidRDefault="00B51BA4" w:rsidP="00ED41BA">
      <w:pPr>
        <w:ind w:left="170" w:firstLine="311"/>
        <w:jc w:val="both"/>
        <w:rPr>
          <w:i/>
          <w:sz w:val="20"/>
          <w:szCs w:val="20"/>
        </w:rPr>
      </w:pPr>
    </w:p>
    <w:p w:rsidR="00FD24F5" w:rsidRDefault="00FD24F5" w:rsidP="00ED41BA">
      <w:pPr>
        <w:ind w:left="170" w:firstLine="311"/>
        <w:jc w:val="both"/>
        <w:rPr>
          <w:i/>
          <w:sz w:val="20"/>
          <w:szCs w:val="20"/>
        </w:rPr>
      </w:pPr>
    </w:p>
    <w:p w:rsidR="00B51BA4" w:rsidRDefault="00B51BA4" w:rsidP="00ED41BA">
      <w:pPr>
        <w:ind w:left="170" w:firstLine="311"/>
        <w:jc w:val="both"/>
        <w:rPr>
          <w:i/>
          <w:sz w:val="20"/>
          <w:szCs w:val="20"/>
        </w:rPr>
      </w:pPr>
    </w:p>
    <w:p w:rsidR="00FD24F5" w:rsidRDefault="00FD24F5" w:rsidP="00ED41BA">
      <w:pPr>
        <w:ind w:left="170" w:firstLine="311"/>
        <w:jc w:val="both"/>
        <w:rPr>
          <w:i/>
          <w:sz w:val="20"/>
          <w:szCs w:val="20"/>
        </w:rPr>
      </w:pPr>
    </w:p>
    <w:p w:rsidR="00FD24F5" w:rsidRDefault="00FD24F5" w:rsidP="00ED41BA">
      <w:pPr>
        <w:ind w:left="170" w:firstLine="311"/>
        <w:jc w:val="both"/>
        <w:rPr>
          <w:i/>
          <w:sz w:val="20"/>
          <w:szCs w:val="20"/>
        </w:rPr>
      </w:pPr>
    </w:p>
    <w:tbl>
      <w:tblPr>
        <w:tblW w:w="9436" w:type="dxa"/>
        <w:tblInd w:w="55" w:type="dxa"/>
        <w:tblCellMar>
          <w:left w:w="70" w:type="dxa"/>
          <w:right w:w="70" w:type="dxa"/>
        </w:tblCellMar>
        <w:tblLook w:val="04A0" w:firstRow="1" w:lastRow="0" w:firstColumn="1" w:lastColumn="0" w:noHBand="0" w:noVBand="1"/>
      </w:tblPr>
      <w:tblGrid>
        <w:gridCol w:w="4111"/>
        <w:gridCol w:w="196"/>
        <w:gridCol w:w="1196"/>
        <w:gridCol w:w="1665"/>
        <w:gridCol w:w="2328"/>
      </w:tblGrid>
      <w:tr w:rsidR="00742E30" w:rsidTr="00742E30">
        <w:trPr>
          <w:trHeight w:val="330"/>
        </w:trPr>
        <w:tc>
          <w:tcPr>
            <w:tcW w:w="7108" w:type="dxa"/>
            <w:gridSpan w:val="4"/>
            <w:tcBorders>
              <w:top w:val="nil"/>
              <w:left w:val="nil"/>
              <w:bottom w:val="nil"/>
              <w:right w:val="nil"/>
            </w:tcBorders>
            <w:shd w:val="clear" w:color="000000" w:fill="FFFF99"/>
            <w:noWrap/>
            <w:vAlign w:val="bottom"/>
            <w:hideMark/>
          </w:tcPr>
          <w:p w:rsidR="00742E30" w:rsidRDefault="00742E30">
            <w:pPr>
              <w:rPr>
                <w:rFonts w:ascii="Arial CE" w:hAnsi="Arial CE" w:cs="Arial CE"/>
                <w:b/>
                <w:bCs/>
              </w:rPr>
            </w:pPr>
            <w:r>
              <w:rPr>
                <w:rFonts w:ascii="Arial CE" w:hAnsi="Arial CE" w:cs="Arial CE"/>
                <w:b/>
                <w:bCs/>
              </w:rPr>
              <w:lastRenderedPageBreak/>
              <w:t>2) V rozpočtu 2018 jsou zahrnuty tyto investice:</w:t>
            </w:r>
          </w:p>
        </w:tc>
        <w:tc>
          <w:tcPr>
            <w:tcW w:w="2328" w:type="dxa"/>
            <w:tcBorders>
              <w:top w:val="nil"/>
              <w:left w:val="nil"/>
              <w:bottom w:val="nil"/>
              <w:right w:val="nil"/>
            </w:tcBorders>
            <w:shd w:val="clear" w:color="000000" w:fill="FFFF99"/>
            <w:noWrap/>
            <w:vAlign w:val="bottom"/>
            <w:hideMark/>
          </w:tcPr>
          <w:p w:rsidR="00742E30" w:rsidRDefault="00742E30">
            <w:pPr>
              <w:rPr>
                <w:rFonts w:ascii="Arial" w:hAnsi="Arial" w:cs="Arial"/>
                <w:sz w:val="20"/>
                <w:szCs w:val="20"/>
              </w:rPr>
            </w:pPr>
            <w:r>
              <w:rPr>
                <w:rFonts w:ascii="Arial" w:hAnsi="Arial" w:cs="Arial"/>
                <w:sz w:val="20"/>
                <w:szCs w:val="20"/>
              </w:rPr>
              <w:t> </w:t>
            </w:r>
          </w:p>
        </w:tc>
      </w:tr>
      <w:tr w:rsidR="00742E30" w:rsidTr="00742E30">
        <w:trPr>
          <w:trHeight w:val="270"/>
        </w:trPr>
        <w:tc>
          <w:tcPr>
            <w:tcW w:w="4111" w:type="dxa"/>
            <w:tcBorders>
              <w:top w:val="single" w:sz="8" w:space="0" w:color="auto"/>
              <w:left w:val="single" w:sz="8" w:space="0" w:color="auto"/>
              <w:bottom w:val="single" w:sz="8" w:space="0" w:color="auto"/>
              <w:right w:val="nil"/>
            </w:tcBorders>
            <w:shd w:val="clear" w:color="auto" w:fill="auto"/>
            <w:noWrap/>
            <w:vAlign w:val="bottom"/>
            <w:hideMark/>
          </w:tcPr>
          <w:p w:rsidR="00742E30" w:rsidRDefault="00742E30">
            <w:pPr>
              <w:rPr>
                <w:rFonts w:ascii="Arial CE" w:hAnsi="Arial CE" w:cs="Arial CE"/>
                <w:b/>
                <w:bCs/>
                <w:sz w:val="20"/>
                <w:szCs w:val="20"/>
              </w:rPr>
            </w:pPr>
            <w:r>
              <w:rPr>
                <w:rFonts w:ascii="Arial CE" w:hAnsi="Arial CE" w:cs="Arial CE"/>
                <w:b/>
                <w:bCs/>
                <w:sz w:val="20"/>
                <w:szCs w:val="20"/>
              </w:rPr>
              <w:t>Investice</w:t>
            </w:r>
          </w:p>
        </w:tc>
        <w:tc>
          <w:tcPr>
            <w:tcW w:w="136" w:type="dxa"/>
            <w:tcBorders>
              <w:top w:val="single" w:sz="8" w:space="0" w:color="auto"/>
              <w:left w:val="nil"/>
              <w:bottom w:val="single" w:sz="8" w:space="0" w:color="auto"/>
              <w:right w:val="nil"/>
            </w:tcBorders>
            <w:shd w:val="clear" w:color="auto" w:fill="auto"/>
            <w:noWrap/>
            <w:vAlign w:val="bottom"/>
            <w:hideMark/>
          </w:tcPr>
          <w:p w:rsidR="00742E30" w:rsidRDefault="00742E30">
            <w:pPr>
              <w:jc w:val="center"/>
              <w:rPr>
                <w:rFonts w:ascii="Arial CE" w:hAnsi="Arial CE" w:cs="Arial CE"/>
                <w:sz w:val="16"/>
                <w:szCs w:val="16"/>
              </w:rPr>
            </w:pPr>
            <w:r>
              <w:rPr>
                <w:rFonts w:ascii="Arial CE" w:hAnsi="Arial CE" w:cs="Arial CE"/>
                <w:sz w:val="16"/>
                <w:szCs w:val="16"/>
              </w:rPr>
              <w:t> </w:t>
            </w:r>
          </w:p>
        </w:tc>
        <w:tc>
          <w:tcPr>
            <w:tcW w:w="1196" w:type="dxa"/>
            <w:tcBorders>
              <w:top w:val="single" w:sz="8" w:space="0" w:color="auto"/>
              <w:left w:val="nil"/>
              <w:bottom w:val="single" w:sz="8" w:space="0" w:color="auto"/>
              <w:right w:val="nil"/>
            </w:tcBorders>
            <w:shd w:val="clear" w:color="auto" w:fill="auto"/>
            <w:noWrap/>
            <w:vAlign w:val="bottom"/>
            <w:hideMark/>
          </w:tcPr>
          <w:p w:rsidR="00742E30" w:rsidRDefault="00742E30">
            <w:pPr>
              <w:jc w:val="right"/>
              <w:rPr>
                <w:rFonts w:ascii="Arial CE" w:hAnsi="Arial CE" w:cs="Arial CE"/>
                <w:b/>
                <w:bCs/>
                <w:sz w:val="20"/>
                <w:szCs w:val="20"/>
              </w:rPr>
            </w:pPr>
            <w:r>
              <w:rPr>
                <w:rFonts w:ascii="Arial CE" w:hAnsi="Arial CE" w:cs="Arial CE"/>
                <w:b/>
                <w:bCs/>
                <w:sz w:val="20"/>
                <w:szCs w:val="20"/>
              </w:rPr>
              <w:t> </w:t>
            </w:r>
          </w:p>
        </w:tc>
        <w:tc>
          <w:tcPr>
            <w:tcW w:w="166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42E30" w:rsidRDefault="00742E30">
            <w:pPr>
              <w:jc w:val="right"/>
              <w:rPr>
                <w:rFonts w:ascii="Arial CE" w:hAnsi="Arial CE" w:cs="Arial CE"/>
                <w:b/>
                <w:bCs/>
                <w:sz w:val="20"/>
                <w:szCs w:val="20"/>
              </w:rPr>
            </w:pPr>
            <w:r>
              <w:rPr>
                <w:rFonts w:ascii="Arial CE" w:hAnsi="Arial CE" w:cs="Arial CE"/>
                <w:b/>
                <w:bCs/>
                <w:sz w:val="20"/>
                <w:szCs w:val="20"/>
              </w:rPr>
              <w:t xml:space="preserve">částka (tis. </w:t>
            </w:r>
            <w:proofErr w:type="gramStart"/>
            <w:r>
              <w:rPr>
                <w:rFonts w:ascii="Arial CE" w:hAnsi="Arial CE" w:cs="Arial CE"/>
                <w:b/>
                <w:bCs/>
                <w:sz w:val="20"/>
                <w:szCs w:val="20"/>
              </w:rPr>
              <w:t>Kč )</w:t>
            </w:r>
            <w:proofErr w:type="gramEnd"/>
          </w:p>
        </w:tc>
        <w:tc>
          <w:tcPr>
            <w:tcW w:w="2328" w:type="dxa"/>
            <w:tcBorders>
              <w:top w:val="single" w:sz="8" w:space="0" w:color="auto"/>
              <w:left w:val="nil"/>
              <w:bottom w:val="single" w:sz="8" w:space="0" w:color="auto"/>
              <w:right w:val="single" w:sz="8" w:space="0" w:color="auto"/>
            </w:tcBorders>
            <w:shd w:val="clear" w:color="auto" w:fill="auto"/>
            <w:noWrap/>
            <w:vAlign w:val="bottom"/>
            <w:hideMark/>
          </w:tcPr>
          <w:p w:rsidR="00742E30" w:rsidRDefault="00742E30">
            <w:pPr>
              <w:jc w:val="center"/>
              <w:rPr>
                <w:rFonts w:ascii="Arial CE" w:hAnsi="Arial CE" w:cs="Arial CE"/>
                <w:b/>
                <w:bCs/>
                <w:sz w:val="20"/>
                <w:szCs w:val="20"/>
              </w:rPr>
            </w:pPr>
            <w:r>
              <w:rPr>
                <w:rFonts w:ascii="Arial CE" w:hAnsi="Arial CE" w:cs="Arial CE"/>
                <w:b/>
                <w:bCs/>
                <w:sz w:val="20"/>
                <w:szCs w:val="20"/>
              </w:rPr>
              <w:t>poznámka</w:t>
            </w:r>
          </w:p>
        </w:tc>
      </w:tr>
      <w:tr w:rsidR="00742E30" w:rsidTr="00742E30">
        <w:trPr>
          <w:trHeight w:val="255"/>
        </w:trPr>
        <w:tc>
          <w:tcPr>
            <w:tcW w:w="4111" w:type="dxa"/>
            <w:tcBorders>
              <w:top w:val="nil"/>
              <w:left w:val="single" w:sz="8" w:space="0" w:color="auto"/>
              <w:bottom w:val="nil"/>
              <w:right w:val="nil"/>
            </w:tcBorders>
            <w:shd w:val="clear" w:color="auto" w:fill="auto"/>
            <w:noWrap/>
            <w:vAlign w:val="bottom"/>
            <w:hideMark/>
          </w:tcPr>
          <w:p w:rsidR="00742E30" w:rsidRDefault="00742E30">
            <w:pPr>
              <w:rPr>
                <w:rFonts w:ascii="Arial CE" w:hAnsi="Arial CE" w:cs="Arial CE"/>
                <w:sz w:val="18"/>
                <w:szCs w:val="18"/>
              </w:rPr>
            </w:pPr>
            <w:r>
              <w:rPr>
                <w:rFonts w:ascii="Arial CE" w:hAnsi="Arial CE" w:cs="Arial CE"/>
                <w:sz w:val="18"/>
                <w:szCs w:val="18"/>
              </w:rPr>
              <w:t>Projekt Hraběnka</w:t>
            </w:r>
          </w:p>
        </w:tc>
        <w:tc>
          <w:tcPr>
            <w:tcW w:w="136" w:type="dxa"/>
            <w:tcBorders>
              <w:top w:val="nil"/>
              <w:left w:val="nil"/>
              <w:bottom w:val="nil"/>
              <w:right w:val="nil"/>
            </w:tcBorders>
            <w:shd w:val="clear" w:color="auto" w:fill="auto"/>
            <w:noWrap/>
            <w:vAlign w:val="bottom"/>
            <w:hideMark/>
          </w:tcPr>
          <w:p w:rsidR="00742E30" w:rsidRDefault="00742E30">
            <w:pPr>
              <w:rPr>
                <w:rFonts w:ascii="Arial CE" w:hAnsi="Arial CE" w:cs="Arial CE"/>
                <w:sz w:val="16"/>
                <w:szCs w:val="16"/>
              </w:rPr>
            </w:pPr>
          </w:p>
        </w:tc>
        <w:tc>
          <w:tcPr>
            <w:tcW w:w="1196" w:type="dxa"/>
            <w:tcBorders>
              <w:top w:val="nil"/>
              <w:left w:val="nil"/>
              <w:bottom w:val="nil"/>
              <w:right w:val="nil"/>
            </w:tcBorders>
            <w:shd w:val="clear" w:color="auto" w:fill="auto"/>
            <w:noWrap/>
            <w:vAlign w:val="bottom"/>
            <w:hideMark/>
          </w:tcPr>
          <w:p w:rsidR="00742E30" w:rsidRDefault="00742E30">
            <w:pPr>
              <w:rPr>
                <w:rFonts w:ascii="Arial CE" w:hAnsi="Arial CE" w:cs="Arial CE"/>
                <w:sz w:val="16"/>
                <w:szCs w:val="16"/>
              </w:rPr>
            </w:pPr>
          </w:p>
        </w:tc>
        <w:tc>
          <w:tcPr>
            <w:tcW w:w="1665" w:type="dxa"/>
            <w:tcBorders>
              <w:top w:val="nil"/>
              <w:left w:val="single" w:sz="4" w:space="0" w:color="auto"/>
              <w:bottom w:val="nil"/>
              <w:right w:val="single" w:sz="4" w:space="0" w:color="auto"/>
            </w:tcBorders>
            <w:shd w:val="clear" w:color="auto" w:fill="auto"/>
            <w:noWrap/>
            <w:vAlign w:val="bottom"/>
            <w:hideMark/>
          </w:tcPr>
          <w:p w:rsidR="00742E30" w:rsidRDefault="00742E30">
            <w:pPr>
              <w:jc w:val="right"/>
              <w:rPr>
                <w:rFonts w:ascii="Arial CE" w:hAnsi="Arial CE" w:cs="Arial CE"/>
                <w:sz w:val="20"/>
                <w:szCs w:val="20"/>
              </w:rPr>
            </w:pPr>
            <w:r>
              <w:rPr>
                <w:rFonts w:ascii="Arial CE" w:hAnsi="Arial CE" w:cs="Arial CE"/>
                <w:sz w:val="20"/>
                <w:szCs w:val="20"/>
              </w:rPr>
              <w:t>10 474</w:t>
            </w:r>
          </w:p>
        </w:tc>
        <w:tc>
          <w:tcPr>
            <w:tcW w:w="2328" w:type="dxa"/>
            <w:tcBorders>
              <w:top w:val="nil"/>
              <w:left w:val="nil"/>
              <w:bottom w:val="nil"/>
              <w:right w:val="single" w:sz="8" w:space="0" w:color="auto"/>
            </w:tcBorders>
            <w:shd w:val="clear" w:color="auto" w:fill="auto"/>
            <w:noWrap/>
            <w:vAlign w:val="bottom"/>
            <w:hideMark/>
          </w:tcPr>
          <w:p w:rsidR="00742E30" w:rsidRDefault="00742E30">
            <w:pPr>
              <w:rPr>
                <w:rFonts w:ascii="Arial CE" w:hAnsi="Arial CE" w:cs="Arial CE"/>
                <w:sz w:val="16"/>
                <w:szCs w:val="16"/>
              </w:rPr>
            </w:pPr>
            <w:r>
              <w:rPr>
                <w:rFonts w:ascii="Arial CE" w:hAnsi="Arial CE" w:cs="Arial CE"/>
                <w:sz w:val="16"/>
                <w:szCs w:val="16"/>
              </w:rPr>
              <w:t> </w:t>
            </w:r>
          </w:p>
        </w:tc>
      </w:tr>
      <w:tr w:rsidR="00742E30" w:rsidTr="00742E30">
        <w:trPr>
          <w:trHeight w:val="255"/>
        </w:trPr>
        <w:tc>
          <w:tcPr>
            <w:tcW w:w="4247" w:type="dxa"/>
            <w:gridSpan w:val="2"/>
            <w:tcBorders>
              <w:top w:val="nil"/>
              <w:left w:val="single" w:sz="8" w:space="0" w:color="auto"/>
              <w:bottom w:val="nil"/>
              <w:right w:val="nil"/>
            </w:tcBorders>
            <w:shd w:val="clear" w:color="auto" w:fill="auto"/>
            <w:noWrap/>
            <w:vAlign w:val="bottom"/>
            <w:hideMark/>
          </w:tcPr>
          <w:p w:rsidR="00742E30" w:rsidRDefault="00742E30">
            <w:pPr>
              <w:rPr>
                <w:rFonts w:ascii="Arial CE" w:hAnsi="Arial CE" w:cs="Arial CE"/>
                <w:sz w:val="18"/>
                <w:szCs w:val="18"/>
              </w:rPr>
            </w:pPr>
            <w:r>
              <w:rPr>
                <w:rFonts w:ascii="Arial CE" w:hAnsi="Arial CE" w:cs="Arial CE"/>
                <w:sz w:val="18"/>
                <w:szCs w:val="18"/>
              </w:rPr>
              <w:t>Příspěvek na rozšíření vybavení SC, s.r.o</w:t>
            </w:r>
          </w:p>
        </w:tc>
        <w:tc>
          <w:tcPr>
            <w:tcW w:w="1196" w:type="dxa"/>
            <w:tcBorders>
              <w:top w:val="nil"/>
              <w:left w:val="nil"/>
              <w:bottom w:val="nil"/>
              <w:right w:val="nil"/>
            </w:tcBorders>
            <w:shd w:val="clear" w:color="auto" w:fill="auto"/>
            <w:vAlign w:val="bottom"/>
            <w:hideMark/>
          </w:tcPr>
          <w:p w:rsidR="00742E30" w:rsidRDefault="00742E30">
            <w:pPr>
              <w:rPr>
                <w:rFonts w:ascii="Arial CE" w:hAnsi="Arial CE" w:cs="Arial CE"/>
                <w:sz w:val="16"/>
                <w:szCs w:val="16"/>
              </w:rPr>
            </w:pPr>
          </w:p>
        </w:tc>
        <w:tc>
          <w:tcPr>
            <w:tcW w:w="1665" w:type="dxa"/>
            <w:tcBorders>
              <w:top w:val="nil"/>
              <w:left w:val="single" w:sz="4" w:space="0" w:color="auto"/>
              <w:bottom w:val="nil"/>
              <w:right w:val="single" w:sz="4" w:space="0" w:color="auto"/>
            </w:tcBorders>
            <w:shd w:val="clear" w:color="auto" w:fill="auto"/>
            <w:noWrap/>
            <w:vAlign w:val="bottom"/>
            <w:hideMark/>
          </w:tcPr>
          <w:p w:rsidR="00742E30" w:rsidRDefault="00BF7826" w:rsidP="00BF7826">
            <w:pPr>
              <w:jc w:val="center"/>
              <w:rPr>
                <w:rFonts w:ascii="Arial CE" w:hAnsi="Arial CE" w:cs="Arial CE"/>
                <w:sz w:val="20"/>
                <w:szCs w:val="20"/>
              </w:rPr>
            </w:pPr>
            <w:r>
              <w:rPr>
                <w:rFonts w:ascii="Arial CE" w:hAnsi="Arial CE" w:cs="Arial CE"/>
                <w:sz w:val="20"/>
                <w:szCs w:val="20"/>
              </w:rPr>
              <w:t xml:space="preserve">                11 8</w:t>
            </w:r>
            <w:r w:rsidR="00742E30">
              <w:rPr>
                <w:rFonts w:ascii="Arial CE" w:hAnsi="Arial CE" w:cs="Arial CE"/>
                <w:sz w:val="20"/>
                <w:szCs w:val="20"/>
              </w:rPr>
              <w:t>00</w:t>
            </w:r>
          </w:p>
        </w:tc>
        <w:tc>
          <w:tcPr>
            <w:tcW w:w="2328" w:type="dxa"/>
            <w:tcBorders>
              <w:top w:val="nil"/>
              <w:left w:val="nil"/>
              <w:bottom w:val="nil"/>
              <w:right w:val="single" w:sz="8" w:space="0" w:color="auto"/>
            </w:tcBorders>
            <w:shd w:val="clear" w:color="auto" w:fill="auto"/>
            <w:vAlign w:val="bottom"/>
            <w:hideMark/>
          </w:tcPr>
          <w:p w:rsidR="00742E30" w:rsidRDefault="00BF7826">
            <w:pPr>
              <w:rPr>
                <w:rFonts w:ascii="Arial CE" w:hAnsi="Arial CE" w:cs="Arial CE"/>
                <w:sz w:val="16"/>
                <w:szCs w:val="16"/>
              </w:rPr>
            </w:pPr>
            <w:r>
              <w:rPr>
                <w:rFonts w:ascii="Arial CE" w:hAnsi="Arial CE" w:cs="Arial CE"/>
                <w:sz w:val="16"/>
                <w:szCs w:val="16"/>
              </w:rPr>
              <w:t>z  toho 2800 splacení ZK</w:t>
            </w:r>
          </w:p>
        </w:tc>
      </w:tr>
      <w:tr w:rsidR="00742E30" w:rsidTr="00742E30">
        <w:trPr>
          <w:trHeight w:val="255"/>
        </w:trPr>
        <w:tc>
          <w:tcPr>
            <w:tcW w:w="4247" w:type="dxa"/>
            <w:gridSpan w:val="2"/>
            <w:tcBorders>
              <w:top w:val="nil"/>
              <w:left w:val="single" w:sz="8" w:space="0" w:color="auto"/>
              <w:bottom w:val="nil"/>
              <w:right w:val="nil"/>
            </w:tcBorders>
            <w:shd w:val="clear" w:color="auto" w:fill="auto"/>
            <w:noWrap/>
            <w:vAlign w:val="bottom"/>
            <w:hideMark/>
          </w:tcPr>
          <w:p w:rsidR="00742E30" w:rsidRDefault="00742E30">
            <w:pPr>
              <w:rPr>
                <w:rFonts w:ascii="Arial CE" w:hAnsi="Arial CE" w:cs="Arial CE"/>
                <w:sz w:val="18"/>
                <w:szCs w:val="18"/>
              </w:rPr>
            </w:pPr>
            <w:r>
              <w:rPr>
                <w:rFonts w:ascii="Arial CE" w:hAnsi="Arial CE" w:cs="Arial CE"/>
                <w:sz w:val="18"/>
                <w:szCs w:val="18"/>
              </w:rPr>
              <w:t>Požární ochrana - nákup nové cisterny</w:t>
            </w:r>
          </w:p>
        </w:tc>
        <w:tc>
          <w:tcPr>
            <w:tcW w:w="1196" w:type="dxa"/>
            <w:tcBorders>
              <w:top w:val="nil"/>
              <w:left w:val="nil"/>
              <w:bottom w:val="nil"/>
              <w:right w:val="nil"/>
            </w:tcBorders>
            <w:shd w:val="clear" w:color="auto" w:fill="auto"/>
            <w:vAlign w:val="bottom"/>
            <w:hideMark/>
          </w:tcPr>
          <w:p w:rsidR="00742E30" w:rsidRDefault="00742E30">
            <w:pPr>
              <w:rPr>
                <w:rFonts w:ascii="Arial CE" w:hAnsi="Arial CE" w:cs="Arial CE"/>
                <w:sz w:val="16"/>
                <w:szCs w:val="16"/>
              </w:rPr>
            </w:pPr>
          </w:p>
        </w:tc>
        <w:tc>
          <w:tcPr>
            <w:tcW w:w="1665" w:type="dxa"/>
            <w:tcBorders>
              <w:top w:val="nil"/>
              <w:left w:val="single" w:sz="4" w:space="0" w:color="auto"/>
              <w:bottom w:val="nil"/>
              <w:right w:val="single" w:sz="4" w:space="0" w:color="auto"/>
            </w:tcBorders>
            <w:shd w:val="clear" w:color="auto" w:fill="auto"/>
            <w:noWrap/>
            <w:vAlign w:val="bottom"/>
            <w:hideMark/>
          </w:tcPr>
          <w:p w:rsidR="00742E30" w:rsidRDefault="00742E30">
            <w:pPr>
              <w:jc w:val="right"/>
              <w:rPr>
                <w:rFonts w:ascii="Arial CE" w:hAnsi="Arial CE" w:cs="Arial CE"/>
                <w:sz w:val="20"/>
                <w:szCs w:val="20"/>
              </w:rPr>
            </w:pPr>
            <w:r>
              <w:rPr>
                <w:rFonts w:ascii="Arial CE" w:hAnsi="Arial CE" w:cs="Arial CE"/>
                <w:sz w:val="20"/>
                <w:szCs w:val="20"/>
              </w:rPr>
              <w:t>7 079</w:t>
            </w:r>
          </w:p>
        </w:tc>
        <w:tc>
          <w:tcPr>
            <w:tcW w:w="2328" w:type="dxa"/>
            <w:tcBorders>
              <w:top w:val="nil"/>
              <w:left w:val="nil"/>
              <w:bottom w:val="nil"/>
              <w:right w:val="single" w:sz="8" w:space="0" w:color="auto"/>
            </w:tcBorders>
            <w:shd w:val="clear" w:color="auto" w:fill="auto"/>
            <w:noWrap/>
            <w:vAlign w:val="bottom"/>
            <w:hideMark/>
          </w:tcPr>
          <w:p w:rsidR="00742E30" w:rsidRDefault="00742E30">
            <w:pPr>
              <w:rPr>
                <w:rFonts w:ascii="Arial CE" w:hAnsi="Arial CE" w:cs="Arial CE"/>
                <w:sz w:val="16"/>
                <w:szCs w:val="16"/>
              </w:rPr>
            </w:pPr>
            <w:r>
              <w:rPr>
                <w:rFonts w:ascii="Arial CE" w:hAnsi="Arial CE" w:cs="Arial CE"/>
                <w:sz w:val="16"/>
                <w:szCs w:val="16"/>
              </w:rPr>
              <w:t> </w:t>
            </w:r>
          </w:p>
        </w:tc>
      </w:tr>
      <w:tr w:rsidR="00742E30" w:rsidTr="00742E30">
        <w:trPr>
          <w:trHeight w:val="255"/>
        </w:trPr>
        <w:tc>
          <w:tcPr>
            <w:tcW w:w="4111" w:type="dxa"/>
            <w:tcBorders>
              <w:top w:val="nil"/>
              <w:left w:val="single" w:sz="8" w:space="0" w:color="auto"/>
              <w:bottom w:val="nil"/>
              <w:right w:val="nil"/>
            </w:tcBorders>
            <w:shd w:val="clear" w:color="auto" w:fill="auto"/>
            <w:noWrap/>
            <w:vAlign w:val="bottom"/>
            <w:hideMark/>
          </w:tcPr>
          <w:p w:rsidR="00742E30" w:rsidRDefault="00742E30">
            <w:pPr>
              <w:rPr>
                <w:rFonts w:ascii="Arial CE" w:hAnsi="Arial CE" w:cs="Arial CE"/>
                <w:sz w:val="18"/>
                <w:szCs w:val="18"/>
              </w:rPr>
            </w:pPr>
            <w:r>
              <w:rPr>
                <w:rFonts w:ascii="Arial CE" w:hAnsi="Arial CE" w:cs="Arial CE"/>
                <w:sz w:val="18"/>
                <w:szCs w:val="18"/>
              </w:rPr>
              <w:t xml:space="preserve">Chodník Čsl. </w:t>
            </w:r>
            <w:proofErr w:type="spellStart"/>
            <w:r>
              <w:rPr>
                <w:rFonts w:ascii="Arial CE" w:hAnsi="Arial CE" w:cs="Arial CE"/>
                <w:sz w:val="18"/>
                <w:szCs w:val="18"/>
              </w:rPr>
              <w:t>Legiíí</w:t>
            </w:r>
            <w:proofErr w:type="spellEnd"/>
          </w:p>
        </w:tc>
        <w:tc>
          <w:tcPr>
            <w:tcW w:w="136" w:type="dxa"/>
            <w:tcBorders>
              <w:top w:val="nil"/>
              <w:left w:val="nil"/>
              <w:bottom w:val="nil"/>
              <w:right w:val="nil"/>
            </w:tcBorders>
            <w:shd w:val="clear" w:color="auto" w:fill="auto"/>
            <w:noWrap/>
            <w:vAlign w:val="bottom"/>
            <w:hideMark/>
          </w:tcPr>
          <w:p w:rsidR="00742E30" w:rsidRDefault="00742E30">
            <w:pPr>
              <w:rPr>
                <w:rFonts w:ascii="Arial CE" w:hAnsi="Arial CE" w:cs="Arial CE"/>
                <w:sz w:val="16"/>
                <w:szCs w:val="16"/>
              </w:rPr>
            </w:pPr>
          </w:p>
        </w:tc>
        <w:tc>
          <w:tcPr>
            <w:tcW w:w="1196" w:type="dxa"/>
            <w:tcBorders>
              <w:top w:val="nil"/>
              <w:left w:val="nil"/>
              <w:bottom w:val="nil"/>
              <w:right w:val="nil"/>
            </w:tcBorders>
            <w:shd w:val="clear" w:color="auto" w:fill="auto"/>
            <w:vAlign w:val="bottom"/>
            <w:hideMark/>
          </w:tcPr>
          <w:p w:rsidR="00742E30" w:rsidRDefault="00742E30">
            <w:pPr>
              <w:rPr>
                <w:rFonts w:ascii="Arial CE" w:hAnsi="Arial CE" w:cs="Arial CE"/>
                <w:sz w:val="16"/>
                <w:szCs w:val="16"/>
              </w:rPr>
            </w:pPr>
          </w:p>
        </w:tc>
        <w:tc>
          <w:tcPr>
            <w:tcW w:w="1665" w:type="dxa"/>
            <w:tcBorders>
              <w:top w:val="nil"/>
              <w:left w:val="single" w:sz="4" w:space="0" w:color="auto"/>
              <w:bottom w:val="nil"/>
              <w:right w:val="single" w:sz="4" w:space="0" w:color="auto"/>
            </w:tcBorders>
            <w:shd w:val="clear" w:color="auto" w:fill="auto"/>
            <w:noWrap/>
            <w:vAlign w:val="bottom"/>
            <w:hideMark/>
          </w:tcPr>
          <w:p w:rsidR="00742E30" w:rsidRDefault="00742E30">
            <w:pPr>
              <w:jc w:val="right"/>
              <w:rPr>
                <w:rFonts w:ascii="Arial CE" w:hAnsi="Arial CE" w:cs="Arial CE"/>
                <w:sz w:val="20"/>
                <w:szCs w:val="20"/>
              </w:rPr>
            </w:pPr>
            <w:r>
              <w:rPr>
                <w:rFonts w:ascii="Arial CE" w:hAnsi="Arial CE" w:cs="Arial CE"/>
                <w:sz w:val="20"/>
                <w:szCs w:val="20"/>
              </w:rPr>
              <w:t>6 350</w:t>
            </w:r>
          </w:p>
        </w:tc>
        <w:tc>
          <w:tcPr>
            <w:tcW w:w="2328" w:type="dxa"/>
            <w:tcBorders>
              <w:top w:val="nil"/>
              <w:left w:val="nil"/>
              <w:bottom w:val="nil"/>
              <w:right w:val="single" w:sz="8" w:space="0" w:color="auto"/>
            </w:tcBorders>
            <w:shd w:val="clear" w:color="auto" w:fill="auto"/>
            <w:noWrap/>
            <w:vAlign w:val="bottom"/>
            <w:hideMark/>
          </w:tcPr>
          <w:p w:rsidR="00742E30" w:rsidRDefault="00742E30">
            <w:pPr>
              <w:rPr>
                <w:rFonts w:ascii="Arial CE" w:hAnsi="Arial CE" w:cs="Arial CE"/>
                <w:sz w:val="16"/>
                <w:szCs w:val="16"/>
              </w:rPr>
            </w:pPr>
            <w:r>
              <w:rPr>
                <w:rFonts w:ascii="Arial CE" w:hAnsi="Arial CE" w:cs="Arial CE"/>
                <w:sz w:val="16"/>
                <w:szCs w:val="16"/>
              </w:rPr>
              <w:t>vlastní podíl</w:t>
            </w:r>
          </w:p>
        </w:tc>
      </w:tr>
      <w:tr w:rsidR="00742E30" w:rsidTr="00742E30">
        <w:trPr>
          <w:trHeight w:val="255"/>
        </w:trPr>
        <w:tc>
          <w:tcPr>
            <w:tcW w:w="4111" w:type="dxa"/>
            <w:tcBorders>
              <w:top w:val="nil"/>
              <w:left w:val="single" w:sz="8" w:space="0" w:color="auto"/>
              <w:bottom w:val="nil"/>
              <w:right w:val="nil"/>
            </w:tcBorders>
            <w:shd w:val="clear" w:color="auto" w:fill="auto"/>
            <w:noWrap/>
            <w:vAlign w:val="bottom"/>
            <w:hideMark/>
          </w:tcPr>
          <w:p w:rsidR="00742E30" w:rsidRDefault="00742E30">
            <w:pPr>
              <w:rPr>
                <w:rFonts w:ascii="Arial CE" w:hAnsi="Arial CE" w:cs="Arial CE"/>
                <w:sz w:val="18"/>
                <w:szCs w:val="18"/>
              </w:rPr>
            </w:pPr>
            <w:r>
              <w:rPr>
                <w:rFonts w:ascii="Arial CE" w:hAnsi="Arial CE" w:cs="Arial CE"/>
                <w:sz w:val="18"/>
                <w:szCs w:val="18"/>
              </w:rPr>
              <w:t>Rekonstrukce čp. 85</w:t>
            </w:r>
          </w:p>
        </w:tc>
        <w:tc>
          <w:tcPr>
            <w:tcW w:w="136" w:type="dxa"/>
            <w:tcBorders>
              <w:top w:val="nil"/>
              <w:left w:val="nil"/>
              <w:bottom w:val="nil"/>
              <w:right w:val="nil"/>
            </w:tcBorders>
            <w:shd w:val="clear" w:color="auto" w:fill="auto"/>
            <w:noWrap/>
            <w:vAlign w:val="bottom"/>
            <w:hideMark/>
          </w:tcPr>
          <w:p w:rsidR="00742E30" w:rsidRDefault="00742E30">
            <w:pPr>
              <w:rPr>
                <w:rFonts w:ascii="Arial CE" w:hAnsi="Arial CE" w:cs="Arial CE"/>
                <w:sz w:val="16"/>
                <w:szCs w:val="16"/>
              </w:rPr>
            </w:pPr>
          </w:p>
        </w:tc>
        <w:tc>
          <w:tcPr>
            <w:tcW w:w="1196" w:type="dxa"/>
            <w:tcBorders>
              <w:top w:val="nil"/>
              <w:left w:val="nil"/>
              <w:bottom w:val="nil"/>
              <w:right w:val="nil"/>
            </w:tcBorders>
            <w:shd w:val="clear" w:color="auto" w:fill="auto"/>
            <w:vAlign w:val="bottom"/>
            <w:hideMark/>
          </w:tcPr>
          <w:p w:rsidR="00742E30" w:rsidRDefault="00742E30">
            <w:pPr>
              <w:rPr>
                <w:rFonts w:ascii="Arial CE" w:hAnsi="Arial CE" w:cs="Arial CE"/>
                <w:sz w:val="16"/>
                <w:szCs w:val="16"/>
              </w:rPr>
            </w:pPr>
          </w:p>
        </w:tc>
        <w:tc>
          <w:tcPr>
            <w:tcW w:w="1665" w:type="dxa"/>
            <w:tcBorders>
              <w:top w:val="nil"/>
              <w:left w:val="single" w:sz="4" w:space="0" w:color="auto"/>
              <w:bottom w:val="nil"/>
              <w:right w:val="single" w:sz="4" w:space="0" w:color="auto"/>
            </w:tcBorders>
            <w:shd w:val="clear" w:color="auto" w:fill="auto"/>
            <w:noWrap/>
            <w:vAlign w:val="bottom"/>
            <w:hideMark/>
          </w:tcPr>
          <w:p w:rsidR="00742E30" w:rsidRDefault="00742E30">
            <w:pPr>
              <w:jc w:val="right"/>
              <w:rPr>
                <w:rFonts w:ascii="Arial CE" w:hAnsi="Arial CE" w:cs="Arial CE"/>
                <w:sz w:val="20"/>
                <w:szCs w:val="20"/>
              </w:rPr>
            </w:pPr>
            <w:r>
              <w:rPr>
                <w:rFonts w:ascii="Arial CE" w:hAnsi="Arial CE" w:cs="Arial CE"/>
                <w:sz w:val="20"/>
                <w:szCs w:val="20"/>
              </w:rPr>
              <w:t>5 500</w:t>
            </w:r>
          </w:p>
        </w:tc>
        <w:tc>
          <w:tcPr>
            <w:tcW w:w="2328" w:type="dxa"/>
            <w:tcBorders>
              <w:top w:val="nil"/>
              <w:left w:val="nil"/>
              <w:bottom w:val="nil"/>
              <w:right w:val="single" w:sz="8" w:space="0" w:color="auto"/>
            </w:tcBorders>
            <w:shd w:val="clear" w:color="auto" w:fill="auto"/>
            <w:vAlign w:val="bottom"/>
            <w:hideMark/>
          </w:tcPr>
          <w:p w:rsidR="00742E30" w:rsidRDefault="00742E30">
            <w:pPr>
              <w:rPr>
                <w:rFonts w:ascii="Arial CE" w:hAnsi="Arial CE" w:cs="Arial CE"/>
                <w:sz w:val="16"/>
                <w:szCs w:val="16"/>
              </w:rPr>
            </w:pPr>
            <w:r>
              <w:rPr>
                <w:rFonts w:ascii="Arial CE" w:hAnsi="Arial CE" w:cs="Arial CE"/>
                <w:sz w:val="16"/>
                <w:szCs w:val="16"/>
              </w:rPr>
              <w:t> </w:t>
            </w:r>
          </w:p>
        </w:tc>
      </w:tr>
      <w:tr w:rsidR="00742E30" w:rsidTr="00742E30">
        <w:trPr>
          <w:trHeight w:val="255"/>
        </w:trPr>
        <w:tc>
          <w:tcPr>
            <w:tcW w:w="5443" w:type="dxa"/>
            <w:gridSpan w:val="3"/>
            <w:tcBorders>
              <w:top w:val="nil"/>
              <w:left w:val="single" w:sz="8" w:space="0" w:color="auto"/>
              <w:bottom w:val="nil"/>
              <w:right w:val="nil"/>
            </w:tcBorders>
            <w:shd w:val="clear" w:color="auto" w:fill="auto"/>
            <w:noWrap/>
            <w:vAlign w:val="bottom"/>
            <w:hideMark/>
          </w:tcPr>
          <w:p w:rsidR="00742E30" w:rsidRDefault="00742E30">
            <w:pPr>
              <w:rPr>
                <w:rFonts w:ascii="Arial CE" w:hAnsi="Arial CE" w:cs="Arial CE"/>
                <w:sz w:val="18"/>
                <w:szCs w:val="18"/>
              </w:rPr>
            </w:pPr>
            <w:r>
              <w:rPr>
                <w:rFonts w:ascii="Arial CE" w:hAnsi="Arial CE" w:cs="Arial CE"/>
                <w:sz w:val="18"/>
                <w:szCs w:val="18"/>
              </w:rPr>
              <w:t xml:space="preserve">Nová parkoviště </w:t>
            </w:r>
            <w:r>
              <w:rPr>
                <w:rFonts w:ascii="Arial CE" w:hAnsi="Arial CE" w:cs="Arial CE"/>
                <w:sz w:val="16"/>
                <w:szCs w:val="16"/>
              </w:rPr>
              <w:t xml:space="preserve">(U </w:t>
            </w:r>
            <w:proofErr w:type="spellStart"/>
            <w:r>
              <w:rPr>
                <w:rFonts w:ascii="Arial CE" w:hAnsi="Arial CE" w:cs="Arial CE"/>
                <w:sz w:val="16"/>
                <w:szCs w:val="16"/>
              </w:rPr>
              <w:t>Zolmana</w:t>
            </w:r>
            <w:proofErr w:type="spellEnd"/>
            <w:r>
              <w:rPr>
                <w:rFonts w:ascii="Arial CE" w:hAnsi="Arial CE" w:cs="Arial CE"/>
                <w:sz w:val="16"/>
                <w:szCs w:val="16"/>
              </w:rPr>
              <w:t xml:space="preserve">, před gymnáziem, </w:t>
            </w:r>
            <w:proofErr w:type="spellStart"/>
            <w:proofErr w:type="gramStart"/>
            <w:r>
              <w:rPr>
                <w:rFonts w:ascii="Arial CE" w:hAnsi="Arial CE" w:cs="Arial CE"/>
                <w:sz w:val="16"/>
                <w:szCs w:val="16"/>
              </w:rPr>
              <w:t>Poštovní,Jungmanova</w:t>
            </w:r>
            <w:proofErr w:type="spellEnd"/>
            <w:proofErr w:type="gramEnd"/>
            <w:r>
              <w:rPr>
                <w:rFonts w:ascii="Arial CE" w:hAnsi="Arial CE" w:cs="Arial CE"/>
                <w:sz w:val="16"/>
                <w:szCs w:val="16"/>
              </w:rPr>
              <w:t>, Tyršovo nám.)</w:t>
            </w:r>
          </w:p>
        </w:tc>
        <w:tc>
          <w:tcPr>
            <w:tcW w:w="1665" w:type="dxa"/>
            <w:tcBorders>
              <w:top w:val="nil"/>
              <w:left w:val="single" w:sz="4" w:space="0" w:color="auto"/>
              <w:bottom w:val="nil"/>
              <w:right w:val="single" w:sz="4" w:space="0" w:color="auto"/>
            </w:tcBorders>
            <w:shd w:val="clear" w:color="auto" w:fill="auto"/>
            <w:noWrap/>
            <w:vAlign w:val="bottom"/>
            <w:hideMark/>
          </w:tcPr>
          <w:p w:rsidR="00742E30" w:rsidRDefault="00742E30">
            <w:pPr>
              <w:jc w:val="right"/>
              <w:rPr>
                <w:rFonts w:ascii="Arial CE" w:hAnsi="Arial CE" w:cs="Arial CE"/>
                <w:sz w:val="20"/>
                <w:szCs w:val="20"/>
              </w:rPr>
            </w:pPr>
            <w:r>
              <w:rPr>
                <w:rFonts w:ascii="Arial CE" w:hAnsi="Arial CE" w:cs="Arial CE"/>
                <w:sz w:val="20"/>
                <w:szCs w:val="20"/>
              </w:rPr>
              <w:t>4 948</w:t>
            </w:r>
          </w:p>
        </w:tc>
        <w:tc>
          <w:tcPr>
            <w:tcW w:w="2328" w:type="dxa"/>
            <w:tcBorders>
              <w:top w:val="nil"/>
              <w:left w:val="nil"/>
              <w:bottom w:val="nil"/>
              <w:right w:val="single" w:sz="8" w:space="0" w:color="auto"/>
            </w:tcBorders>
            <w:shd w:val="clear" w:color="auto" w:fill="auto"/>
            <w:vAlign w:val="bottom"/>
            <w:hideMark/>
          </w:tcPr>
          <w:p w:rsidR="00742E30" w:rsidRDefault="00742E30">
            <w:pPr>
              <w:rPr>
                <w:rFonts w:ascii="Arial CE" w:hAnsi="Arial CE" w:cs="Arial CE"/>
                <w:sz w:val="16"/>
                <w:szCs w:val="16"/>
              </w:rPr>
            </w:pPr>
            <w:r>
              <w:rPr>
                <w:rFonts w:ascii="Arial CE" w:hAnsi="Arial CE" w:cs="Arial CE"/>
                <w:sz w:val="16"/>
                <w:szCs w:val="16"/>
              </w:rPr>
              <w:t> </w:t>
            </w:r>
          </w:p>
        </w:tc>
      </w:tr>
      <w:tr w:rsidR="00742E30" w:rsidTr="00742E30">
        <w:trPr>
          <w:trHeight w:val="255"/>
        </w:trPr>
        <w:tc>
          <w:tcPr>
            <w:tcW w:w="4247" w:type="dxa"/>
            <w:gridSpan w:val="2"/>
            <w:tcBorders>
              <w:top w:val="nil"/>
              <w:left w:val="single" w:sz="8" w:space="0" w:color="auto"/>
              <w:bottom w:val="nil"/>
              <w:right w:val="nil"/>
            </w:tcBorders>
            <w:shd w:val="clear" w:color="auto" w:fill="auto"/>
            <w:noWrap/>
            <w:vAlign w:val="bottom"/>
            <w:hideMark/>
          </w:tcPr>
          <w:p w:rsidR="00742E30" w:rsidRDefault="00742E30">
            <w:pPr>
              <w:rPr>
                <w:rFonts w:ascii="Arial CE" w:hAnsi="Arial CE" w:cs="Arial CE"/>
                <w:sz w:val="18"/>
                <w:szCs w:val="18"/>
              </w:rPr>
            </w:pPr>
            <w:r>
              <w:rPr>
                <w:rFonts w:ascii="Arial CE" w:hAnsi="Arial CE" w:cs="Arial CE"/>
                <w:sz w:val="18"/>
                <w:szCs w:val="18"/>
              </w:rPr>
              <w:t>Obnova zahradního domku a expozice</w:t>
            </w:r>
          </w:p>
        </w:tc>
        <w:tc>
          <w:tcPr>
            <w:tcW w:w="1196" w:type="dxa"/>
            <w:tcBorders>
              <w:top w:val="nil"/>
              <w:left w:val="nil"/>
              <w:bottom w:val="nil"/>
              <w:right w:val="nil"/>
            </w:tcBorders>
            <w:shd w:val="clear" w:color="auto" w:fill="auto"/>
            <w:vAlign w:val="bottom"/>
            <w:hideMark/>
          </w:tcPr>
          <w:p w:rsidR="00742E30" w:rsidRDefault="00742E30">
            <w:pPr>
              <w:rPr>
                <w:rFonts w:ascii="Arial CE" w:hAnsi="Arial CE" w:cs="Arial CE"/>
                <w:sz w:val="16"/>
                <w:szCs w:val="16"/>
              </w:rPr>
            </w:pPr>
          </w:p>
        </w:tc>
        <w:tc>
          <w:tcPr>
            <w:tcW w:w="1665" w:type="dxa"/>
            <w:tcBorders>
              <w:top w:val="nil"/>
              <w:left w:val="single" w:sz="4" w:space="0" w:color="auto"/>
              <w:bottom w:val="nil"/>
              <w:right w:val="single" w:sz="4" w:space="0" w:color="auto"/>
            </w:tcBorders>
            <w:shd w:val="clear" w:color="auto" w:fill="auto"/>
            <w:noWrap/>
            <w:vAlign w:val="bottom"/>
            <w:hideMark/>
          </w:tcPr>
          <w:p w:rsidR="00742E30" w:rsidRDefault="00742E30">
            <w:pPr>
              <w:jc w:val="right"/>
              <w:rPr>
                <w:rFonts w:ascii="Arial CE" w:hAnsi="Arial CE" w:cs="Arial CE"/>
                <w:sz w:val="20"/>
                <w:szCs w:val="20"/>
              </w:rPr>
            </w:pPr>
            <w:r>
              <w:rPr>
                <w:rFonts w:ascii="Arial CE" w:hAnsi="Arial CE" w:cs="Arial CE"/>
                <w:sz w:val="20"/>
                <w:szCs w:val="20"/>
              </w:rPr>
              <w:t>4 400</w:t>
            </w:r>
          </w:p>
        </w:tc>
        <w:tc>
          <w:tcPr>
            <w:tcW w:w="2328" w:type="dxa"/>
            <w:tcBorders>
              <w:top w:val="nil"/>
              <w:left w:val="nil"/>
              <w:bottom w:val="nil"/>
              <w:right w:val="single" w:sz="8" w:space="0" w:color="auto"/>
            </w:tcBorders>
            <w:shd w:val="clear" w:color="auto" w:fill="auto"/>
            <w:vAlign w:val="bottom"/>
            <w:hideMark/>
          </w:tcPr>
          <w:p w:rsidR="00742E30" w:rsidRDefault="00742E30">
            <w:pPr>
              <w:rPr>
                <w:rFonts w:ascii="Arial CE" w:hAnsi="Arial CE" w:cs="Arial CE"/>
                <w:sz w:val="16"/>
                <w:szCs w:val="16"/>
              </w:rPr>
            </w:pPr>
            <w:r>
              <w:rPr>
                <w:rFonts w:ascii="Arial CE" w:hAnsi="Arial CE" w:cs="Arial CE"/>
                <w:sz w:val="16"/>
                <w:szCs w:val="16"/>
              </w:rPr>
              <w:t> </w:t>
            </w:r>
          </w:p>
        </w:tc>
      </w:tr>
      <w:tr w:rsidR="00742E30" w:rsidTr="00742E30">
        <w:trPr>
          <w:trHeight w:val="255"/>
        </w:trPr>
        <w:tc>
          <w:tcPr>
            <w:tcW w:w="4111" w:type="dxa"/>
            <w:tcBorders>
              <w:top w:val="nil"/>
              <w:left w:val="single" w:sz="8" w:space="0" w:color="auto"/>
              <w:bottom w:val="nil"/>
              <w:right w:val="nil"/>
            </w:tcBorders>
            <w:shd w:val="clear" w:color="auto" w:fill="auto"/>
            <w:noWrap/>
            <w:vAlign w:val="bottom"/>
            <w:hideMark/>
          </w:tcPr>
          <w:p w:rsidR="00742E30" w:rsidRDefault="00742E30">
            <w:pPr>
              <w:rPr>
                <w:rFonts w:ascii="Arial CE" w:hAnsi="Arial CE" w:cs="Arial CE"/>
                <w:sz w:val="18"/>
                <w:szCs w:val="18"/>
              </w:rPr>
            </w:pPr>
            <w:proofErr w:type="spellStart"/>
            <w:r>
              <w:rPr>
                <w:rFonts w:ascii="Arial CE" w:hAnsi="Arial CE" w:cs="Arial CE"/>
                <w:sz w:val="18"/>
                <w:szCs w:val="18"/>
              </w:rPr>
              <w:t>Bátovka</w:t>
            </w:r>
            <w:proofErr w:type="spellEnd"/>
            <w:r>
              <w:rPr>
                <w:rFonts w:ascii="Arial CE" w:hAnsi="Arial CE" w:cs="Arial CE"/>
                <w:sz w:val="18"/>
                <w:szCs w:val="18"/>
              </w:rPr>
              <w:t xml:space="preserve"> - dotace VHS</w:t>
            </w:r>
          </w:p>
        </w:tc>
        <w:tc>
          <w:tcPr>
            <w:tcW w:w="136" w:type="dxa"/>
            <w:tcBorders>
              <w:top w:val="nil"/>
              <w:left w:val="nil"/>
              <w:bottom w:val="nil"/>
              <w:right w:val="nil"/>
            </w:tcBorders>
            <w:shd w:val="clear" w:color="auto" w:fill="auto"/>
            <w:noWrap/>
            <w:vAlign w:val="bottom"/>
            <w:hideMark/>
          </w:tcPr>
          <w:p w:rsidR="00742E30" w:rsidRDefault="00742E30">
            <w:pPr>
              <w:rPr>
                <w:rFonts w:ascii="Arial CE" w:hAnsi="Arial CE" w:cs="Arial CE"/>
                <w:sz w:val="16"/>
                <w:szCs w:val="16"/>
              </w:rPr>
            </w:pPr>
          </w:p>
        </w:tc>
        <w:tc>
          <w:tcPr>
            <w:tcW w:w="1196" w:type="dxa"/>
            <w:tcBorders>
              <w:top w:val="nil"/>
              <w:left w:val="nil"/>
              <w:bottom w:val="nil"/>
              <w:right w:val="nil"/>
            </w:tcBorders>
            <w:shd w:val="clear" w:color="auto" w:fill="auto"/>
            <w:vAlign w:val="bottom"/>
            <w:hideMark/>
          </w:tcPr>
          <w:p w:rsidR="00742E30" w:rsidRDefault="00742E30">
            <w:pPr>
              <w:rPr>
                <w:rFonts w:ascii="Arial CE" w:hAnsi="Arial CE" w:cs="Arial CE"/>
                <w:sz w:val="16"/>
                <w:szCs w:val="16"/>
              </w:rPr>
            </w:pPr>
          </w:p>
        </w:tc>
        <w:tc>
          <w:tcPr>
            <w:tcW w:w="1665" w:type="dxa"/>
            <w:tcBorders>
              <w:top w:val="nil"/>
              <w:left w:val="single" w:sz="4" w:space="0" w:color="auto"/>
              <w:bottom w:val="nil"/>
              <w:right w:val="single" w:sz="4" w:space="0" w:color="auto"/>
            </w:tcBorders>
            <w:shd w:val="clear" w:color="auto" w:fill="auto"/>
            <w:noWrap/>
            <w:vAlign w:val="bottom"/>
            <w:hideMark/>
          </w:tcPr>
          <w:p w:rsidR="00742E30" w:rsidRDefault="00742E30">
            <w:pPr>
              <w:jc w:val="right"/>
              <w:rPr>
                <w:rFonts w:ascii="Arial CE" w:hAnsi="Arial CE" w:cs="Arial CE"/>
                <w:sz w:val="20"/>
                <w:szCs w:val="20"/>
              </w:rPr>
            </w:pPr>
            <w:r>
              <w:rPr>
                <w:rFonts w:ascii="Arial CE" w:hAnsi="Arial CE" w:cs="Arial CE"/>
                <w:sz w:val="20"/>
                <w:szCs w:val="20"/>
              </w:rPr>
              <w:t>4 000</w:t>
            </w:r>
          </w:p>
        </w:tc>
        <w:tc>
          <w:tcPr>
            <w:tcW w:w="2328" w:type="dxa"/>
            <w:tcBorders>
              <w:top w:val="nil"/>
              <w:left w:val="nil"/>
              <w:bottom w:val="nil"/>
              <w:right w:val="single" w:sz="8" w:space="0" w:color="auto"/>
            </w:tcBorders>
            <w:shd w:val="clear" w:color="auto" w:fill="auto"/>
            <w:vAlign w:val="bottom"/>
            <w:hideMark/>
          </w:tcPr>
          <w:p w:rsidR="00742E30" w:rsidRDefault="00742E30">
            <w:pPr>
              <w:rPr>
                <w:rFonts w:ascii="Arial CE" w:hAnsi="Arial CE" w:cs="Arial CE"/>
                <w:sz w:val="16"/>
                <w:szCs w:val="16"/>
              </w:rPr>
            </w:pPr>
            <w:r>
              <w:rPr>
                <w:rFonts w:ascii="Arial CE" w:hAnsi="Arial CE" w:cs="Arial CE"/>
                <w:sz w:val="16"/>
                <w:szCs w:val="16"/>
              </w:rPr>
              <w:t> </w:t>
            </w:r>
          </w:p>
        </w:tc>
      </w:tr>
      <w:tr w:rsidR="00742E30" w:rsidTr="00742E30">
        <w:trPr>
          <w:trHeight w:val="255"/>
        </w:trPr>
        <w:tc>
          <w:tcPr>
            <w:tcW w:w="5443" w:type="dxa"/>
            <w:gridSpan w:val="3"/>
            <w:tcBorders>
              <w:top w:val="nil"/>
              <w:left w:val="single" w:sz="8" w:space="0" w:color="auto"/>
              <w:bottom w:val="nil"/>
              <w:right w:val="nil"/>
            </w:tcBorders>
            <w:shd w:val="clear" w:color="auto" w:fill="auto"/>
            <w:noWrap/>
            <w:vAlign w:val="bottom"/>
            <w:hideMark/>
          </w:tcPr>
          <w:p w:rsidR="00742E30" w:rsidRDefault="00742E30">
            <w:pPr>
              <w:rPr>
                <w:rFonts w:ascii="Arial CE" w:hAnsi="Arial CE" w:cs="Arial CE"/>
                <w:sz w:val="18"/>
                <w:szCs w:val="18"/>
              </w:rPr>
            </w:pPr>
            <w:r>
              <w:rPr>
                <w:rFonts w:ascii="Arial CE" w:hAnsi="Arial CE" w:cs="Arial CE"/>
                <w:sz w:val="18"/>
                <w:szCs w:val="18"/>
              </w:rPr>
              <w:t>Rekonstrukce čp. 259 - kotelna, prostory pro knihovnu</w:t>
            </w:r>
          </w:p>
        </w:tc>
        <w:tc>
          <w:tcPr>
            <w:tcW w:w="1665" w:type="dxa"/>
            <w:tcBorders>
              <w:top w:val="nil"/>
              <w:left w:val="single" w:sz="4" w:space="0" w:color="auto"/>
              <w:bottom w:val="nil"/>
              <w:right w:val="single" w:sz="4" w:space="0" w:color="auto"/>
            </w:tcBorders>
            <w:shd w:val="clear" w:color="auto" w:fill="auto"/>
            <w:noWrap/>
            <w:vAlign w:val="bottom"/>
            <w:hideMark/>
          </w:tcPr>
          <w:p w:rsidR="00742E30" w:rsidRDefault="00742E30">
            <w:pPr>
              <w:jc w:val="right"/>
              <w:rPr>
                <w:rFonts w:ascii="Arial CE" w:hAnsi="Arial CE" w:cs="Arial CE"/>
                <w:sz w:val="20"/>
                <w:szCs w:val="20"/>
              </w:rPr>
            </w:pPr>
            <w:r>
              <w:rPr>
                <w:rFonts w:ascii="Arial CE" w:hAnsi="Arial CE" w:cs="Arial CE"/>
                <w:sz w:val="20"/>
                <w:szCs w:val="20"/>
              </w:rPr>
              <w:t>3 500</w:t>
            </w:r>
          </w:p>
        </w:tc>
        <w:tc>
          <w:tcPr>
            <w:tcW w:w="2328" w:type="dxa"/>
            <w:tcBorders>
              <w:top w:val="nil"/>
              <w:left w:val="nil"/>
              <w:bottom w:val="nil"/>
              <w:right w:val="single" w:sz="8" w:space="0" w:color="auto"/>
            </w:tcBorders>
            <w:shd w:val="clear" w:color="auto" w:fill="auto"/>
            <w:vAlign w:val="bottom"/>
            <w:hideMark/>
          </w:tcPr>
          <w:p w:rsidR="00742E30" w:rsidRDefault="00742E30">
            <w:pPr>
              <w:rPr>
                <w:rFonts w:ascii="Arial CE" w:hAnsi="Arial CE" w:cs="Arial CE"/>
                <w:sz w:val="16"/>
                <w:szCs w:val="16"/>
              </w:rPr>
            </w:pPr>
            <w:r>
              <w:rPr>
                <w:rFonts w:ascii="Arial CE" w:hAnsi="Arial CE" w:cs="Arial CE"/>
                <w:sz w:val="16"/>
                <w:szCs w:val="16"/>
              </w:rPr>
              <w:t> </w:t>
            </w:r>
          </w:p>
        </w:tc>
      </w:tr>
      <w:tr w:rsidR="00742E30" w:rsidTr="00742E30">
        <w:trPr>
          <w:trHeight w:val="255"/>
        </w:trPr>
        <w:tc>
          <w:tcPr>
            <w:tcW w:w="4111" w:type="dxa"/>
            <w:tcBorders>
              <w:top w:val="nil"/>
              <w:left w:val="single" w:sz="8" w:space="0" w:color="auto"/>
              <w:bottom w:val="nil"/>
              <w:right w:val="nil"/>
            </w:tcBorders>
            <w:shd w:val="clear" w:color="auto" w:fill="auto"/>
            <w:noWrap/>
            <w:vAlign w:val="bottom"/>
            <w:hideMark/>
          </w:tcPr>
          <w:p w:rsidR="00742E30" w:rsidRDefault="00742E30">
            <w:pPr>
              <w:rPr>
                <w:rFonts w:ascii="Arial CE" w:hAnsi="Arial CE" w:cs="Arial CE"/>
                <w:sz w:val="18"/>
                <w:szCs w:val="18"/>
              </w:rPr>
            </w:pPr>
            <w:r>
              <w:rPr>
                <w:rFonts w:ascii="Arial CE" w:hAnsi="Arial CE" w:cs="Arial CE"/>
                <w:sz w:val="18"/>
                <w:szCs w:val="18"/>
              </w:rPr>
              <w:t>Ulice Žižkova - rekonstrukce</w:t>
            </w:r>
          </w:p>
        </w:tc>
        <w:tc>
          <w:tcPr>
            <w:tcW w:w="136" w:type="dxa"/>
            <w:tcBorders>
              <w:top w:val="nil"/>
              <w:left w:val="nil"/>
              <w:bottom w:val="nil"/>
              <w:right w:val="nil"/>
            </w:tcBorders>
            <w:shd w:val="clear" w:color="auto" w:fill="auto"/>
            <w:noWrap/>
            <w:vAlign w:val="bottom"/>
            <w:hideMark/>
          </w:tcPr>
          <w:p w:rsidR="00742E30" w:rsidRDefault="00742E30">
            <w:pPr>
              <w:rPr>
                <w:rFonts w:ascii="Arial CE" w:hAnsi="Arial CE" w:cs="Arial CE"/>
                <w:sz w:val="16"/>
                <w:szCs w:val="16"/>
              </w:rPr>
            </w:pPr>
          </w:p>
        </w:tc>
        <w:tc>
          <w:tcPr>
            <w:tcW w:w="1196" w:type="dxa"/>
            <w:tcBorders>
              <w:top w:val="nil"/>
              <w:left w:val="nil"/>
              <w:bottom w:val="nil"/>
              <w:right w:val="nil"/>
            </w:tcBorders>
            <w:shd w:val="clear" w:color="auto" w:fill="auto"/>
            <w:vAlign w:val="bottom"/>
            <w:hideMark/>
          </w:tcPr>
          <w:p w:rsidR="00742E30" w:rsidRDefault="00742E30">
            <w:pPr>
              <w:rPr>
                <w:rFonts w:ascii="Arial CE" w:hAnsi="Arial CE" w:cs="Arial CE"/>
                <w:sz w:val="16"/>
                <w:szCs w:val="16"/>
              </w:rPr>
            </w:pPr>
          </w:p>
        </w:tc>
        <w:tc>
          <w:tcPr>
            <w:tcW w:w="1665" w:type="dxa"/>
            <w:tcBorders>
              <w:top w:val="nil"/>
              <w:left w:val="single" w:sz="4" w:space="0" w:color="auto"/>
              <w:bottom w:val="nil"/>
              <w:right w:val="single" w:sz="4" w:space="0" w:color="auto"/>
            </w:tcBorders>
            <w:shd w:val="clear" w:color="auto" w:fill="auto"/>
            <w:noWrap/>
            <w:vAlign w:val="bottom"/>
            <w:hideMark/>
          </w:tcPr>
          <w:p w:rsidR="00742E30" w:rsidRDefault="00742E30">
            <w:pPr>
              <w:jc w:val="right"/>
              <w:rPr>
                <w:rFonts w:ascii="Arial CE" w:hAnsi="Arial CE" w:cs="Arial CE"/>
                <w:sz w:val="20"/>
                <w:szCs w:val="20"/>
              </w:rPr>
            </w:pPr>
            <w:r>
              <w:rPr>
                <w:rFonts w:ascii="Arial CE" w:hAnsi="Arial CE" w:cs="Arial CE"/>
                <w:sz w:val="20"/>
                <w:szCs w:val="20"/>
              </w:rPr>
              <w:t>2 157</w:t>
            </w:r>
          </w:p>
        </w:tc>
        <w:tc>
          <w:tcPr>
            <w:tcW w:w="2328" w:type="dxa"/>
            <w:tcBorders>
              <w:top w:val="nil"/>
              <w:left w:val="nil"/>
              <w:bottom w:val="nil"/>
              <w:right w:val="single" w:sz="8" w:space="0" w:color="auto"/>
            </w:tcBorders>
            <w:shd w:val="clear" w:color="auto" w:fill="auto"/>
            <w:noWrap/>
            <w:vAlign w:val="bottom"/>
            <w:hideMark/>
          </w:tcPr>
          <w:p w:rsidR="00742E30" w:rsidRDefault="00742E30">
            <w:pPr>
              <w:rPr>
                <w:rFonts w:ascii="Arial CE" w:hAnsi="Arial CE" w:cs="Arial CE"/>
                <w:sz w:val="16"/>
                <w:szCs w:val="16"/>
              </w:rPr>
            </w:pPr>
            <w:r>
              <w:rPr>
                <w:rFonts w:ascii="Arial CE" w:hAnsi="Arial CE" w:cs="Arial CE"/>
                <w:sz w:val="16"/>
                <w:szCs w:val="16"/>
              </w:rPr>
              <w:t xml:space="preserve">z toho 1687 doplatek dotace VHS </w:t>
            </w:r>
          </w:p>
        </w:tc>
      </w:tr>
      <w:tr w:rsidR="00742E30" w:rsidTr="00742E30">
        <w:trPr>
          <w:trHeight w:val="255"/>
        </w:trPr>
        <w:tc>
          <w:tcPr>
            <w:tcW w:w="5443" w:type="dxa"/>
            <w:gridSpan w:val="3"/>
            <w:tcBorders>
              <w:top w:val="nil"/>
              <w:left w:val="single" w:sz="8" w:space="0" w:color="auto"/>
              <w:bottom w:val="nil"/>
              <w:right w:val="nil"/>
            </w:tcBorders>
            <w:shd w:val="clear" w:color="auto" w:fill="auto"/>
            <w:noWrap/>
            <w:vAlign w:val="bottom"/>
            <w:hideMark/>
          </w:tcPr>
          <w:p w:rsidR="00742E30" w:rsidRDefault="00742E30">
            <w:pPr>
              <w:rPr>
                <w:rFonts w:ascii="Arial CE" w:hAnsi="Arial CE" w:cs="Arial CE"/>
                <w:sz w:val="18"/>
                <w:szCs w:val="18"/>
              </w:rPr>
            </w:pPr>
            <w:r>
              <w:rPr>
                <w:rFonts w:ascii="Arial CE" w:hAnsi="Arial CE" w:cs="Arial CE"/>
                <w:sz w:val="18"/>
                <w:szCs w:val="18"/>
              </w:rPr>
              <w:t xml:space="preserve">Místní správa - </w:t>
            </w:r>
            <w:proofErr w:type="spellStart"/>
            <w:r>
              <w:rPr>
                <w:rFonts w:ascii="Arial CE" w:hAnsi="Arial CE" w:cs="Arial CE"/>
                <w:sz w:val="18"/>
                <w:szCs w:val="18"/>
              </w:rPr>
              <w:t>rotomaty</w:t>
            </w:r>
            <w:proofErr w:type="spellEnd"/>
            <w:r>
              <w:rPr>
                <w:rFonts w:ascii="Arial CE" w:hAnsi="Arial CE" w:cs="Arial CE"/>
                <w:sz w:val="18"/>
                <w:szCs w:val="18"/>
              </w:rPr>
              <w:t xml:space="preserve"> pro SO, automobil, </w:t>
            </w:r>
            <w:proofErr w:type="spellStart"/>
            <w:r>
              <w:rPr>
                <w:rFonts w:ascii="Arial CE" w:hAnsi="Arial CE" w:cs="Arial CE"/>
                <w:sz w:val="18"/>
                <w:szCs w:val="18"/>
              </w:rPr>
              <w:t>audioviz</w:t>
            </w:r>
            <w:proofErr w:type="spellEnd"/>
            <w:r>
              <w:rPr>
                <w:rFonts w:ascii="Arial CE" w:hAnsi="Arial CE" w:cs="Arial CE"/>
                <w:sz w:val="18"/>
                <w:szCs w:val="18"/>
              </w:rPr>
              <w:t>. technika</w:t>
            </w:r>
          </w:p>
        </w:tc>
        <w:tc>
          <w:tcPr>
            <w:tcW w:w="1665" w:type="dxa"/>
            <w:tcBorders>
              <w:top w:val="nil"/>
              <w:left w:val="single" w:sz="4" w:space="0" w:color="auto"/>
              <w:bottom w:val="nil"/>
              <w:right w:val="single" w:sz="4" w:space="0" w:color="auto"/>
            </w:tcBorders>
            <w:shd w:val="clear" w:color="auto" w:fill="auto"/>
            <w:noWrap/>
            <w:vAlign w:val="bottom"/>
            <w:hideMark/>
          </w:tcPr>
          <w:p w:rsidR="00742E30" w:rsidRDefault="00742E30">
            <w:pPr>
              <w:jc w:val="right"/>
              <w:rPr>
                <w:rFonts w:ascii="Arial CE" w:hAnsi="Arial CE" w:cs="Arial CE"/>
                <w:sz w:val="20"/>
                <w:szCs w:val="20"/>
              </w:rPr>
            </w:pPr>
            <w:r>
              <w:rPr>
                <w:rFonts w:ascii="Arial CE" w:hAnsi="Arial CE" w:cs="Arial CE"/>
                <w:sz w:val="20"/>
                <w:szCs w:val="20"/>
              </w:rPr>
              <w:t>2 175</w:t>
            </w:r>
          </w:p>
        </w:tc>
        <w:tc>
          <w:tcPr>
            <w:tcW w:w="2328" w:type="dxa"/>
            <w:tcBorders>
              <w:top w:val="nil"/>
              <w:left w:val="nil"/>
              <w:bottom w:val="nil"/>
              <w:right w:val="single" w:sz="8" w:space="0" w:color="auto"/>
            </w:tcBorders>
            <w:shd w:val="clear" w:color="auto" w:fill="auto"/>
            <w:vAlign w:val="bottom"/>
            <w:hideMark/>
          </w:tcPr>
          <w:p w:rsidR="00742E30" w:rsidRDefault="00742E30">
            <w:pPr>
              <w:rPr>
                <w:rFonts w:ascii="Arial CE" w:hAnsi="Arial CE" w:cs="Arial CE"/>
                <w:sz w:val="16"/>
                <w:szCs w:val="16"/>
              </w:rPr>
            </w:pPr>
            <w:r>
              <w:rPr>
                <w:rFonts w:ascii="Arial CE" w:hAnsi="Arial CE" w:cs="Arial CE"/>
                <w:sz w:val="16"/>
                <w:szCs w:val="16"/>
              </w:rPr>
              <w:t> </w:t>
            </w:r>
          </w:p>
        </w:tc>
      </w:tr>
      <w:tr w:rsidR="00742E30" w:rsidTr="00742E30">
        <w:trPr>
          <w:trHeight w:val="255"/>
        </w:trPr>
        <w:tc>
          <w:tcPr>
            <w:tcW w:w="4111" w:type="dxa"/>
            <w:tcBorders>
              <w:top w:val="nil"/>
              <w:left w:val="single" w:sz="8" w:space="0" w:color="auto"/>
              <w:bottom w:val="nil"/>
              <w:right w:val="nil"/>
            </w:tcBorders>
            <w:shd w:val="clear" w:color="auto" w:fill="auto"/>
            <w:noWrap/>
            <w:vAlign w:val="bottom"/>
            <w:hideMark/>
          </w:tcPr>
          <w:p w:rsidR="00742E30" w:rsidRDefault="00742E30">
            <w:pPr>
              <w:rPr>
                <w:rFonts w:ascii="Arial CE" w:hAnsi="Arial CE" w:cs="Arial CE"/>
                <w:sz w:val="18"/>
                <w:szCs w:val="18"/>
              </w:rPr>
            </w:pPr>
            <w:r>
              <w:rPr>
                <w:rFonts w:ascii="Arial CE" w:hAnsi="Arial CE" w:cs="Arial CE"/>
                <w:sz w:val="18"/>
                <w:szCs w:val="18"/>
              </w:rPr>
              <w:t>Nouzov - inženýrské sítě</w:t>
            </w:r>
          </w:p>
        </w:tc>
        <w:tc>
          <w:tcPr>
            <w:tcW w:w="136" w:type="dxa"/>
            <w:tcBorders>
              <w:top w:val="nil"/>
              <w:left w:val="nil"/>
              <w:bottom w:val="nil"/>
              <w:right w:val="nil"/>
            </w:tcBorders>
            <w:shd w:val="clear" w:color="auto" w:fill="auto"/>
            <w:noWrap/>
            <w:vAlign w:val="bottom"/>
            <w:hideMark/>
          </w:tcPr>
          <w:p w:rsidR="00742E30" w:rsidRDefault="00742E30">
            <w:pPr>
              <w:rPr>
                <w:rFonts w:ascii="Arial CE" w:hAnsi="Arial CE" w:cs="Arial CE"/>
                <w:sz w:val="16"/>
                <w:szCs w:val="16"/>
              </w:rPr>
            </w:pPr>
          </w:p>
        </w:tc>
        <w:tc>
          <w:tcPr>
            <w:tcW w:w="1196" w:type="dxa"/>
            <w:tcBorders>
              <w:top w:val="nil"/>
              <w:left w:val="nil"/>
              <w:bottom w:val="nil"/>
              <w:right w:val="nil"/>
            </w:tcBorders>
            <w:shd w:val="clear" w:color="auto" w:fill="auto"/>
            <w:vAlign w:val="bottom"/>
            <w:hideMark/>
          </w:tcPr>
          <w:p w:rsidR="00742E30" w:rsidRDefault="00742E30">
            <w:pPr>
              <w:rPr>
                <w:rFonts w:ascii="Arial CE" w:hAnsi="Arial CE" w:cs="Arial CE"/>
                <w:sz w:val="16"/>
                <w:szCs w:val="16"/>
              </w:rPr>
            </w:pPr>
          </w:p>
        </w:tc>
        <w:tc>
          <w:tcPr>
            <w:tcW w:w="1665" w:type="dxa"/>
            <w:tcBorders>
              <w:top w:val="nil"/>
              <w:left w:val="single" w:sz="4" w:space="0" w:color="auto"/>
              <w:bottom w:val="nil"/>
              <w:right w:val="single" w:sz="4" w:space="0" w:color="auto"/>
            </w:tcBorders>
            <w:shd w:val="clear" w:color="auto" w:fill="auto"/>
            <w:noWrap/>
            <w:vAlign w:val="bottom"/>
            <w:hideMark/>
          </w:tcPr>
          <w:p w:rsidR="00742E30" w:rsidRDefault="00742E30">
            <w:pPr>
              <w:jc w:val="right"/>
              <w:rPr>
                <w:rFonts w:ascii="Arial CE" w:hAnsi="Arial CE" w:cs="Arial CE"/>
                <w:sz w:val="20"/>
                <w:szCs w:val="20"/>
              </w:rPr>
            </w:pPr>
            <w:r>
              <w:rPr>
                <w:rFonts w:ascii="Arial CE" w:hAnsi="Arial CE" w:cs="Arial CE"/>
                <w:sz w:val="20"/>
                <w:szCs w:val="20"/>
              </w:rPr>
              <w:t>2 000</w:t>
            </w:r>
          </w:p>
        </w:tc>
        <w:tc>
          <w:tcPr>
            <w:tcW w:w="2328" w:type="dxa"/>
            <w:tcBorders>
              <w:top w:val="nil"/>
              <w:left w:val="nil"/>
              <w:bottom w:val="nil"/>
              <w:right w:val="single" w:sz="8" w:space="0" w:color="auto"/>
            </w:tcBorders>
            <w:shd w:val="clear" w:color="auto" w:fill="auto"/>
            <w:vAlign w:val="bottom"/>
            <w:hideMark/>
          </w:tcPr>
          <w:p w:rsidR="00742E30" w:rsidRDefault="00742E30">
            <w:pPr>
              <w:rPr>
                <w:rFonts w:ascii="Arial CE" w:hAnsi="Arial CE" w:cs="Arial CE"/>
                <w:sz w:val="16"/>
                <w:szCs w:val="16"/>
              </w:rPr>
            </w:pPr>
            <w:r>
              <w:rPr>
                <w:rFonts w:ascii="Arial CE" w:hAnsi="Arial CE" w:cs="Arial CE"/>
                <w:sz w:val="16"/>
                <w:szCs w:val="16"/>
              </w:rPr>
              <w:t> </w:t>
            </w:r>
          </w:p>
        </w:tc>
      </w:tr>
      <w:tr w:rsidR="00742E30" w:rsidTr="00742E30">
        <w:trPr>
          <w:trHeight w:val="255"/>
        </w:trPr>
        <w:tc>
          <w:tcPr>
            <w:tcW w:w="5443" w:type="dxa"/>
            <w:gridSpan w:val="3"/>
            <w:tcBorders>
              <w:top w:val="nil"/>
              <w:left w:val="single" w:sz="8" w:space="0" w:color="auto"/>
              <w:bottom w:val="nil"/>
              <w:right w:val="nil"/>
            </w:tcBorders>
            <w:shd w:val="clear" w:color="auto" w:fill="auto"/>
            <w:noWrap/>
            <w:vAlign w:val="bottom"/>
            <w:hideMark/>
          </w:tcPr>
          <w:p w:rsidR="00742E30" w:rsidRDefault="00742E30">
            <w:pPr>
              <w:rPr>
                <w:rFonts w:ascii="Arial CE" w:hAnsi="Arial CE" w:cs="Arial CE"/>
                <w:sz w:val="18"/>
                <w:szCs w:val="18"/>
              </w:rPr>
            </w:pPr>
            <w:r>
              <w:rPr>
                <w:rFonts w:ascii="Arial CE" w:hAnsi="Arial CE" w:cs="Arial CE"/>
                <w:sz w:val="18"/>
                <w:szCs w:val="18"/>
              </w:rPr>
              <w:t xml:space="preserve">ZŠ </w:t>
            </w:r>
            <w:proofErr w:type="spellStart"/>
            <w:r>
              <w:rPr>
                <w:rFonts w:ascii="Arial CE" w:hAnsi="Arial CE" w:cs="Arial CE"/>
                <w:sz w:val="18"/>
                <w:szCs w:val="18"/>
              </w:rPr>
              <w:t>Harracha</w:t>
            </w:r>
            <w:proofErr w:type="spellEnd"/>
            <w:r>
              <w:rPr>
                <w:rFonts w:ascii="Arial CE" w:hAnsi="Arial CE" w:cs="Arial CE"/>
                <w:sz w:val="18"/>
                <w:szCs w:val="18"/>
              </w:rPr>
              <w:t xml:space="preserve"> - účelový příspěvek na horolezeckou stěnu</w:t>
            </w:r>
          </w:p>
        </w:tc>
        <w:tc>
          <w:tcPr>
            <w:tcW w:w="1665" w:type="dxa"/>
            <w:tcBorders>
              <w:top w:val="nil"/>
              <w:left w:val="single" w:sz="4" w:space="0" w:color="auto"/>
              <w:bottom w:val="nil"/>
              <w:right w:val="single" w:sz="4" w:space="0" w:color="auto"/>
            </w:tcBorders>
            <w:shd w:val="clear" w:color="auto" w:fill="auto"/>
            <w:noWrap/>
            <w:vAlign w:val="bottom"/>
            <w:hideMark/>
          </w:tcPr>
          <w:p w:rsidR="00742E30" w:rsidRDefault="00742E30">
            <w:pPr>
              <w:jc w:val="right"/>
              <w:rPr>
                <w:rFonts w:ascii="Arial CE" w:hAnsi="Arial CE" w:cs="Arial CE"/>
                <w:sz w:val="20"/>
                <w:szCs w:val="20"/>
              </w:rPr>
            </w:pPr>
            <w:r>
              <w:rPr>
                <w:rFonts w:ascii="Arial CE" w:hAnsi="Arial CE" w:cs="Arial CE"/>
                <w:sz w:val="20"/>
                <w:szCs w:val="20"/>
              </w:rPr>
              <w:t>1 100</w:t>
            </w:r>
          </w:p>
        </w:tc>
        <w:tc>
          <w:tcPr>
            <w:tcW w:w="2328" w:type="dxa"/>
            <w:tcBorders>
              <w:top w:val="nil"/>
              <w:left w:val="nil"/>
              <w:bottom w:val="nil"/>
              <w:right w:val="single" w:sz="8" w:space="0" w:color="auto"/>
            </w:tcBorders>
            <w:shd w:val="clear" w:color="auto" w:fill="auto"/>
            <w:vAlign w:val="bottom"/>
            <w:hideMark/>
          </w:tcPr>
          <w:p w:rsidR="00742E30" w:rsidRDefault="00742E30">
            <w:pPr>
              <w:rPr>
                <w:rFonts w:ascii="Arial CE" w:hAnsi="Arial CE" w:cs="Arial CE"/>
                <w:sz w:val="16"/>
                <w:szCs w:val="16"/>
              </w:rPr>
            </w:pPr>
            <w:r>
              <w:rPr>
                <w:rFonts w:ascii="Arial CE" w:hAnsi="Arial CE" w:cs="Arial CE"/>
                <w:sz w:val="16"/>
                <w:szCs w:val="16"/>
              </w:rPr>
              <w:t> </w:t>
            </w:r>
          </w:p>
        </w:tc>
      </w:tr>
      <w:tr w:rsidR="00742E30" w:rsidTr="00742E30">
        <w:trPr>
          <w:trHeight w:val="255"/>
        </w:trPr>
        <w:tc>
          <w:tcPr>
            <w:tcW w:w="4111" w:type="dxa"/>
            <w:tcBorders>
              <w:top w:val="nil"/>
              <w:left w:val="single" w:sz="8" w:space="0" w:color="auto"/>
              <w:bottom w:val="nil"/>
              <w:right w:val="nil"/>
            </w:tcBorders>
            <w:shd w:val="clear" w:color="auto" w:fill="auto"/>
            <w:noWrap/>
            <w:vAlign w:val="bottom"/>
            <w:hideMark/>
          </w:tcPr>
          <w:p w:rsidR="00742E30" w:rsidRDefault="00742E30">
            <w:pPr>
              <w:rPr>
                <w:rFonts w:ascii="Arial CE" w:hAnsi="Arial CE" w:cs="Arial CE"/>
                <w:sz w:val="18"/>
                <w:szCs w:val="18"/>
              </w:rPr>
            </w:pPr>
            <w:r>
              <w:rPr>
                <w:rFonts w:ascii="Arial CE" w:hAnsi="Arial CE" w:cs="Arial CE"/>
                <w:sz w:val="18"/>
                <w:szCs w:val="18"/>
              </w:rPr>
              <w:t>Zámecký park - podium</w:t>
            </w:r>
          </w:p>
        </w:tc>
        <w:tc>
          <w:tcPr>
            <w:tcW w:w="136" w:type="dxa"/>
            <w:tcBorders>
              <w:top w:val="nil"/>
              <w:left w:val="nil"/>
              <w:bottom w:val="nil"/>
              <w:right w:val="nil"/>
            </w:tcBorders>
            <w:shd w:val="clear" w:color="auto" w:fill="auto"/>
            <w:noWrap/>
            <w:vAlign w:val="bottom"/>
            <w:hideMark/>
          </w:tcPr>
          <w:p w:rsidR="00742E30" w:rsidRDefault="00742E30">
            <w:pPr>
              <w:rPr>
                <w:rFonts w:ascii="Arial CE" w:hAnsi="Arial CE" w:cs="Arial CE"/>
                <w:sz w:val="16"/>
                <w:szCs w:val="16"/>
              </w:rPr>
            </w:pPr>
          </w:p>
        </w:tc>
        <w:tc>
          <w:tcPr>
            <w:tcW w:w="1196" w:type="dxa"/>
            <w:tcBorders>
              <w:top w:val="nil"/>
              <w:left w:val="nil"/>
              <w:bottom w:val="nil"/>
              <w:right w:val="nil"/>
            </w:tcBorders>
            <w:shd w:val="clear" w:color="auto" w:fill="auto"/>
            <w:vAlign w:val="bottom"/>
            <w:hideMark/>
          </w:tcPr>
          <w:p w:rsidR="00742E30" w:rsidRDefault="00742E30">
            <w:pPr>
              <w:rPr>
                <w:rFonts w:ascii="Arial CE" w:hAnsi="Arial CE" w:cs="Arial CE"/>
                <w:sz w:val="16"/>
                <w:szCs w:val="16"/>
              </w:rPr>
            </w:pPr>
          </w:p>
        </w:tc>
        <w:tc>
          <w:tcPr>
            <w:tcW w:w="1665" w:type="dxa"/>
            <w:tcBorders>
              <w:top w:val="nil"/>
              <w:left w:val="single" w:sz="4" w:space="0" w:color="auto"/>
              <w:bottom w:val="nil"/>
              <w:right w:val="single" w:sz="4" w:space="0" w:color="auto"/>
            </w:tcBorders>
            <w:shd w:val="clear" w:color="auto" w:fill="auto"/>
            <w:noWrap/>
            <w:vAlign w:val="bottom"/>
            <w:hideMark/>
          </w:tcPr>
          <w:p w:rsidR="00742E30" w:rsidRDefault="00742E30">
            <w:pPr>
              <w:jc w:val="right"/>
              <w:rPr>
                <w:rFonts w:ascii="Arial CE" w:hAnsi="Arial CE" w:cs="Arial CE"/>
                <w:sz w:val="20"/>
                <w:szCs w:val="20"/>
              </w:rPr>
            </w:pPr>
            <w:r>
              <w:rPr>
                <w:rFonts w:ascii="Arial CE" w:hAnsi="Arial CE" w:cs="Arial CE"/>
                <w:sz w:val="20"/>
                <w:szCs w:val="20"/>
              </w:rPr>
              <w:t>800</w:t>
            </w:r>
          </w:p>
        </w:tc>
        <w:tc>
          <w:tcPr>
            <w:tcW w:w="2328" w:type="dxa"/>
            <w:tcBorders>
              <w:top w:val="nil"/>
              <w:left w:val="nil"/>
              <w:bottom w:val="nil"/>
              <w:right w:val="single" w:sz="8" w:space="0" w:color="auto"/>
            </w:tcBorders>
            <w:shd w:val="clear" w:color="auto" w:fill="auto"/>
            <w:vAlign w:val="bottom"/>
            <w:hideMark/>
          </w:tcPr>
          <w:p w:rsidR="00742E30" w:rsidRDefault="00742E30">
            <w:pPr>
              <w:rPr>
                <w:rFonts w:ascii="Arial CE" w:hAnsi="Arial CE" w:cs="Arial CE"/>
                <w:sz w:val="16"/>
                <w:szCs w:val="16"/>
              </w:rPr>
            </w:pPr>
            <w:r>
              <w:rPr>
                <w:rFonts w:ascii="Arial CE" w:hAnsi="Arial CE" w:cs="Arial CE"/>
                <w:sz w:val="16"/>
                <w:szCs w:val="16"/>
              </w:rPr>
              <w:t> </w:t>
            </w:r>
          </w:p>
        </w:tc>
      </w:tr>
      <w:tr w:rsidR="00742E30" w:rsidTr="00742E30">
        <w:trPr>
          <w:trHeight w:val="255"/>
        </w:trPr>
        <w:tc>
          <w:tcPr>
            <w:tcW w:w="4247" w:type="dxa"/>
            <w:gridSpan w:val="2"/>
            <w:tcBorders>
              <w:top w:val="nil"/>
              <w:left w:val="single" w:sz="8" w:space="0" w:color="auto"/>
              <w:bottom w:val="nil"/>
              <w:right w:val="nil"/>
            </w:tcBorders>
            <w:shd w:val="clear" w:color="auto" w:fill="auto"/>
            <w:noWrap/>
            <w:vAlign w:val="bottom"/>
            <w:hideMark/>
          </w:tcPr>
          <w:p w:rsidR="00742E30" w:rsidRDefault="00742E30">
            <w:pPr>
              <w:rPr>
                <w:rFonts w:ascii="Arial CE" w:hAnsi="Arial CE" w:cs="Arial CE"/>
                <w:sz w:val="18"/>
                <w:szCs w:val="18"/>
              </w:rPr>
            </w:pPr>
            <w:proofErr w:type="spellStart"/>
            <w:r>
              <w:rPr>
                <w:rFonts w:ascii="Arial CE" w:hAnsi="Arial CE" w:cs="Arial CE"/>
                <w:sz w:val="18"/>
                <w:szCs w:val="18"/>
              </w:rPr>
              <w:t>U.ul</w:t>
            </w:r>
            <w:proofErr w:type="spellEnd"/>
            <w:r>
              <w:rPr>
                <w:rFonts w:ascii="Arial CE" w:hAnsi="Arial CE" w:cs="Arial CE"/>
                <w:sz w:val="18"/>
                <w:szCs w:val="18"/>
              </w:rPr>
              <w:t xml:space="preserve">. </w:t>
            </w:r>
            <w:proofErr w:type="spellStart"/>
            <w:r>
              <w:rPr>
                <w:rFonts w:ascii="Arial CE" w:hAnsi="Arial CE" w:cs="Arial CE"/>
                <w:sz w:val="18"/>
                <w:szCs w:val="18"/>
              </w:rPr>
              <w:t>Metyšova</w:t>
            </w:r>
            <w:proofErr w:type="spellEnd"/>
            <w:r>
              <w:rPr>
                <w:rFonts w:ascii="Arial CE" w:hAnsi="Arial CE" w:cs="Arial CE"/>
                <w:sz w:val="18"/>
                <w:szCs w:val="18"/>
              </w:rPr>
              <w:t xml:space="preserve"> - obnova </w:t>
            </w:r>
            <w:proofErr w:type="spellStart"/>
            <w:r>
              <w:rPr>
                <w:rFonts w:ascii="Arial CE" w:hAnsi="Arial CE" w:cs="Arial CE"/>
                <w:sz w:val="18"/>
                <w:szCs w:val="18"/>
              </w:rPr>
              <w:t>vodohosp</w:t>
            </w:r>
            <w:proofErr w:type="spellEnd"/>
            <w:r>
              <w:rPr>
                <w:rFonts w:ascii="Arial CE" w:hAnsi="Arial CE" w:cs="Arial CE"/>
                <w:sz w:val="18"/>
                <w:szCs w:val="18"/>
              </w:rPr>
              <w:t xml:space="preserve">. </w:t>
            </w:r>
            <w:proofErr w:type="gramStart"/>
            <w:r>
              <w:rPr>
                <w:rFonts w:ascii="Arial CE" w:hAnsi="Arial CE" w:cs="Arial CE"/>
                <w:sz w:val="18"/>
                <w:szCs w:val="18"/>
              </w:rPr>
              <w:t>sítí</w:t>
            </w:r>
            <w:proofErr w:type="gramEnd"/>
          </w:p>
        </w:tc>
        <w:tc>
          <w:tcPr>
            <w:tcW w:w="1196" w:type="dxa"/>
            <w:tcBorders>
              <w:top w:val="nil"/>
              <w:left w:val="nil"/>
              <w:bottom w:val="nil"/>
              <w:right w:val="nil"/>
            </w:tcBorders>
            <w:shd w:val="clear" w:color="auto" w:fill="auto"/>
            <w:vAlign w:val="bottom"/>
            <w:hideMark/>
          </w:tcPr>
          <w:p w:rsidR="00742E30" w:rsidRDefault="00742E30">
            <w:pPr>
              <w:rPr>
                <w:rFonts w:ascii="Arial CE" w:hAnsi="Arial CE" w:cs="Arial CE"/>
                <w:sz w:val="16"/>
                <w:szCs w:val="16"/>
              </w:rPr>
            </w:pPr>
          </w:p>
        </w:tc>
        <w:tc>
          <w:tcPr>
            <w:tcW w:w="1665" w:type="dxa"/>
            <w:tcBorders>
              <w:top w:val="nil"/>
              <w:left w:val="single" w:sz="4" w:space="0" w:color="auto"/>
              <w:bottom w:val="nil"/>
              <w:right w:val="single" w:sz="4" w:space="0" w:color="auto"/>
            </w:tcBorders>
            <w:shd w:val="clear" w:color="auto" w:fill="auto"/>
            <w:noWrap/>
            <w:vAlign w:val="bottom"/>
            <w:hideMark/>
          </w:tcPr>
          <w:p w:rsidR="00742E30" w:rsidRDefault="00742E30">
            <w:pPr>
              <w:jc w:val="right"/>
              <w:rPr>
                <w:rFonts w:ascii="Arial CE" w:hAnsi="Arial CE" w:cs="Arial CE"/>
                <w:sz w:val="20"/>
                <w:szCs w:val="20"/>
              </w:rPr>
            </w:pPr>
            <w:r>
              <w:rPr>
                <w:rFonts w:ascii="Arial CE" w:hAnsi="Arial CE" w:cs="Arial CE"/>
                <w:sz w:val="20"/>
                <w:szCs w:val="20"/>
              </w:rPr>
              <w:t>752</w:t>
            </w:r>
          </w:p>
        </w:tc>
        <w:tc>
          <w:tcPr>
            <w:tcW w:w="2328" w:type="dxa"/>
            <w:tcBorders>
              <w:top w:val="nil"/>
              <w:left w:val="nil"/>
              <w:bottom w:val="nil"/>
              <w:right w:val="single" w:sz="8" w:space="0" w:color="auto"/>
            </w:tcBorders>
            <w:shd w:val="clear" w:color="auto" w:fill="auto"/>
            <w:vAlign w:val="bottom"/>
            <w:hideMark/>
          </w:tcPr>
          <w:p w:rsidR="00742E30" w:rsidRDefault="00742E30">
            <w:pPr>
              <w:rPr>
                <w:rFonts w:ascii="Arial CE" w:hAnsi="Arial CE" w:cs="Arial CE"/>
                <w:sz w:val="16"/>
                <w:szCs w:val="16"/>
              </w:rPr>
            </w:pPr>
            <w:r>
              <w:rPr>
                <w:rFonts w:ascii="Arial CE" w:hAnsi="Arial CE" w:cs="Arial CE"/>
                <w:sz w:val="16"/>
                <w:szCs w:val="16"/>
              </w:rPr>
              <w:t>dotace VHS na spolufinancování</w:t>
            </w:r>
          </w:p>
        </w:tc>
      </w:tr>
      <w:tr w:rsidR="00742E30" w:rsidTr="00742E30">
        <w:trPr>
          <w:trHeight w:val="255"/>
        </w:trPr>
        <w:tc>
          <w:tcPr>
            <w:tcW w:w="4111" w:type="dxa"/>
            <w:tcBorders>
              <w:top w:val="nil"/>
              <w:left w:val="single" w:sz="8" w:space="0" w:color="auto"/>
              <w:bottom w:val="nil"/>
              <w:right w:val="nil"/>
            </w:tcBorders>
            <w:shd w:val="clear" w:color="auto" w:fill="auto"/>
            <w:noWrap/>
            <w:vAlign w:val="bottom"/>
            <w:hideMark/>
          </w:tcPr>
          <w:p w:rsidR="00742E30" w:rsidRDefault="00742E30">
            <w:pPr>
              <w:rPr>
                <w:rFonts w:ascii="Arial CE" w:hAnsi="Arial CE" w:cs="Arial CE"/>
                <w:sz w:val="18"/>
                <w:szCs w:val="18"/>
              </w:rPr>
            </w:pPr>
            <w:r>
              <w:rPr>
                <w:rFonts w:ascii="Arial CE" w:hAnsi="Arial CE" w:cs="Arial CE"/>
                <w:sz w:val="18"/>
                <w:szCs w:val="18"/>
              </w:rPr>
              <w:t>DC - investiční příspěvek</w:t>
            </w:r>
          </w:p>
        </w:tc>
        <w:tc>
          <w:tcPr>
            <w:tcW w:w="136" w:type="dxa"/>
            <w:tcBorders>
              <w:top w:val="nil"/>
              <w:left w:val="nil"/>
              <w:bottom w:val="nil"/>
              <w:right w:val="nil"/>
            </w:tcBorders>
            <w:shd w:val="clear" w:color="auto" w:fill="auto"/>
            <w:noWrap/>
            <w:vAlign w:val="bottom"/>
            <w:hideMark/>
          </w:tcPr>
          <w:p w:rsidR="00742E30" w:rsidRDefault="00742E30">
            <w:pPr>
              <w:rPr>
                <w:rFonts w:ascii="Arial CE" w:hAnsi="Arial CE" w:cs="Arial CE"/>
                <w:sz w:val="16"/>
                <w:szCs w:val="16"/>
              </w:rPr>
            </w:pPr>
          </w:p>
        </w:tc>
        <w:tc>
          <w:tcPr>
            <w:tcW w:w="1196" w:type="dxa"/>
            <w:tcBorders>
              <w:top w:val="nil"/>
              <w:left w:val="nil"/>
              <w:bottom w:val="nil"/>
              <w:right w:val="nil"/>
            </w:tcBorders>
            <w:shd w:val="clear" w:color="auto" w:fill="auto"/>
            <w:vAlign w:val="bottom"/>
            <w:hideMark/>
          </w:tcPr>
          <w:p w:rsidR="00742E30" w:rsidRDefault="00742E30">
            <w:pPr>
              <w:rPr>
                <w:rFonts w:ascii="Arial CE" w:hAnsi="Arial CE" w:cs="Arial CE"/>
                <w:sz w:val="16"/>
                <w:szCs w:val="16"/>
              </w:rPr>
            </w:pPr>
          </w:p>
        </w:tc>
        <w:tc>
          <w:tcPr>
            <w:tcW w:w="1665" w:type="dxa"/>
            <w:tcBorders>
              <w:top w:val="nil"/>
              <w:left w:val="single" w:sz="4" w:space="0" w:color="auto"/>
              <w:bottom w:val="nil"/>
              <w:right w:val="single" w:sz="4" w:space="0" w:color="auto"/>
            </w:tcBorders>
            <w:shd w:val="clear" w:color="auto" w:fill="auto"/>
            <w:noWrap/>
            <w:vAlign w:val="bottom"/>
            <w:hideMark/>
          </w:tcPr>
          <w:p w:rsidR="00742E30" w:rsidRDefault="00742E30">
            <w:pPr>
              <w:jc w:val="right"/>
              <w:rPr>
                <w:rFonts w:ascii="Arial CE" w:hAnsi="Arial CE" w:cs="Arial CE"/>
                <w:sz w:val="20"/>
                <w:szCs w:val="20"/>
              </w:rPr>
            </w:pPr>
            <w:r>
              <w:rPr>
                <w:rFonts w:ascii="Arial CE" w:hAnsi="Arial CE" w:cs="Arial CE"/>
                <w:sz w:val="20"/>
                <w:szCs w:val="20"/>
              </w:rPr>
              <w:t>700</w:t>
            </w:r>
          </w:p>
        </w:tc>
        <w:tc>
          <w:tcPr>
            <w:tcW w:w="2328" w:type="dxa"/>
            <w:tcBorders>
              <w:top w:val="nil"/>
              <w:left w:val="nil"/>
              <w:bottom w:val="nil"/>
              <w:right w:val="single" w:sz="8" w:space="0" w:color="auto"/>
            </w:tcBorders>
            <w:shd w:val="clear" w:color="auto" w:fill="auto"/>
            <w:vAlign w:val="bottom"/>
            <w:hideMark/>
          </w:tcPr>
          <w:p w:rsidR="00742E30" w:rsidRDefault="00742E30">
            <w:pPr>
              <w:rPr>
                <w:rFonts w:ascii="Arial CE" w:hAnsi="Arial CE" w:cs="Arial CE"/>
                <w:sz w:val="16"/>
                <w:szCs w:val="16"/>
              </w:rPr>
            </w:pPr>
            <w:r>
              <w:rPr>
                <w:rFonts w:ascii="Arial CE" w:hAnsi="Arial CE" w:cs="Arial CE"/>
                <w:sz w:val="16"/>
                <w:szCs w:val="16"/>
              </w:rPr>
              <w:t> </w:t>
            </w:r>
          </w:p>
        </w:tc>
      </w:tr>
      <w:tr w:rsidR="00742E30" w:rsidTr="00742E30">
        <w:trPr>
          <w:trHeight w:val="255"/>
        </w:trPr>
        <w:tc>
          <w:tcPr>
            <w:tcW w:w="4111" w:type="dxa"/>
            <w:tcBorders>
              <w:top w:val="nil"/>
              <w:left w:val="single" w:sz="8" w:space="0" w:color="auto"/>
              <w:bottom w:val="nil"/>
              <w:right w:val="nil"/>
            </w:tcBorders>
            <w:shd w:val="clear" w:color="auto" w:fill="auto"/>
            <w:noWrap/>
            <w:vAlign w:val="bottom"/>
            <w:hideMark/>
          </w:tcPr>
          <w:p w:rsidR="00742E30" w:rsidRDefault="00742E30">
            <w:pPr>
              <w:rPr>
                <w:rFonts w:ascii="Arial CE" w:hAnsi="Arial CE" w:cs="Arial CE"/>
                <w:sz w:val="18"/>
                <w:szCs w:val="18"/>
              </w:rPr>
            </w:pPr>
            <w:r>
              <w:rPr>
                <w:rFonts w:ascii="Arial CE" w:hAnsi="Arial CE" w:cs="Arial CE"/>
                <w:sz w:val="18"/>
                <w:szCs w:val="18"/>
              </w:rPr>
              <w:t xml:space="preserve">Lesnictví - auto, </w:t>
            </w:r>
            <w:proofErr w:type="spellStart"/>
            <w:r>
              <w:rPr>
                <w:rFonts w:ascii="Arial CE" w:hAnsi="Arial CE" w:cs="Arial CE"/>
                <w:sz w:val="18"/>
                <w:szCs w:val="18"/>
              </w:rPr>
              <w:t>reko</w:t>
            </w:r>
            <w:proofErr w:type="spellEnd"/>
            <w:r>
              <w:rPr>
                <w:rFonts w:ascii="Arial CE" w:hAnsi="Arial CE" w:cs="Arial CE"/>
                <w:sz w:val="18"/>
                <w:szCs w:val="18"/>
              </w:rPr>
              <w:t xml:space="preserve"> lesní cesty</w:t>
            </w:r>
          </w:p>
        </w:tc>
        <w:tc>
          <w:tcPr>
            <w:tcW w:w="136" w:type="dxa"/>
            <w:tcBorders>
              <w:top w:val="nil"/>
              <w:left w:val="nil"/>
              <w:bottom w:val="nil"/>
              <w:right w:val="nil"/>
            </w:tcBorders>
            <w:shd w:val="clear" w:color="auto" w:fill="auto"/>
            <w:noWrap/>
            <w:vAlign w:val="bottom"/>
            <w:hideMark/>
          </w:tcPr>
          <w:p w:rsidR="00742E30" w:rsidRDefault="00742E30">
            <w:pPr>
              <w:rPr>
                <w:rFonts w:ascii="Arial CE" w:hAnsi="Arial CE" w:cs="Arial CE"/>
                <w:sz w:val="16"/>
                <w:szCs w:val="16"/>
              </w:rPr>
            </w:pPr>
          </w:p>
        </w:tc>
        <w:tc>
          <w:tcPr>
            <w:tcW w:w="1196" w:type="dxa"/>
            <w:tcBorders>
              <w:top w:val="nil"/>
              <w:left w:val="nil"/>
              <w:bottom w:val="nil"/>
              <w:right w:val="nil"/>
            </w:tcBorders>
            <w:shd w:val="clear" w:color="auto" w:fill="auto"/>
            <w:vAlign w:val="bottom"/>
            <w:hideMark/>
          </w:tcPr>
          <w:p w:rsidR="00742E30" w:rsidRDefault="00742E30">
            <w:pPr>
              <w:rPr>
                <w:rFonts w:ascii="Arial CE" w:hAnsi="Arial CE" w:cs="Arial CE"/>
                <w:sz w:val="16"/>
                <w:szCs w:val="16"/>
              </w:rPr>
            </w:pPr>
          </w:p>
        </w:tc>
        <w:tc>
          <w:tcPr>
            <w:tcW w:w="1665" w:type="dxa"/>
            <w:tcBorders>
              <w:top w:val="nil"/>
              <w:left w:val="single" w:sz="4" w:space="0" w:color="auto"/>
              <w:bottom w:val="nil"/>
              <w:right w:val="single" w:sz="4" w:space="0" w:color="auto"/>
            </w:tcBorders>
            <w:shd w:val="clear" w:color="auto" w:fill="auto"/>
            <w:noWrap/>
            <w:vAlign w:val="bottom"/>
            <w:hideMark/>
          </w:tcPr>
          <w:p w:rsidR="00742E30" w:rsidRDefault="00742E30">
            <w:pPr>
              <w:jc w:val="right"/>
              <w:rPr>
                <w:rFonts w:ascii="Arial CE" w:hAnsi="Arial CE" w:cs="Arial CE"/>
                <w:sz w:val="20"/>
                <w:szCs w:val="20"/>
              </w:rPr>
            </w:pPr>
            <w:r>
              <w:rPr>
                <w:rFonts w:ascii="Arial CE" w:hAnsi="Arial CE" w:cs="Arial CE"/>
                <w:sz w:val="20"/>
                <w:szCs w:val="20"/>
              </w:rPr>
              <w:t>540</w:t>
            </w:r>
          </w:p>
        </w:tc>
        <w:tc>
          <w:tcPr>
            <w:tcW w:w="2328" w:type="dxa"/>
            <w:tcBorders>
              <w:top w:val="nil"/>
              <w:left w:val="nil"/>
              <w:bottom w:val="nil"/>
              <w:right w:val="single" w:sz="8" w:space="0" w:color="auto"/>
            </w:tcBorders>
            <w:shd w:val="clear" w:color="auto" w:fill="auto"/>
            <w:vAlign w:val="bottom"/>
            <w:hideMark/>
          </w:tcPr>
          <w:p w:rsidR="00742E30" w:rsidRDefault="00742E30">
            <w:pPr>
              <w:rPr>
                <w:rFonts w:ascii="Arial CE" w:hAnsi="Arial CE" w:cs="Arial CE"/>
                <w:sz w:val="16"/>
                <w:szCs w:val="16"/>
              </w:rPr>
            </w:pPr>
            <w:r>
              <w:rPr>
                <w:rFonts w:ascii="Arial CE" w:hAnsi="Arial CE" w:cs="Arial CE"/>
                <w:sz w:val="16"/>
                <w:szCs w:val="16"/>
              </w:rPr>
              <w:t> </w:t>
            </w:r>
          </w:p>
        </w:tc>
      </w:tr>
      <w:tr w:rsidR="00742E30" w:rsidTr="00742E30">
        <w:trPr>
          <w:trHeight w:val="255"/>
        </w:trPr>
        <w:tc>
          <w:tcPr>
            <w:tcW w:w="4111" w:type="dxa"/>
            <w:tcBorders>
              <w:top w:val="nil"/>
              <w:left w:val="single" w:sz="8" w:space="0" w:color="auto"/>
              <w:bottom w:val="nil"/>
              <w:right w:val="nil"/>
            </w:tcBorders>
            <w:shd w:val="clear" w:color="auto" w:fill="auto"/>
            <w:noWrap/>
            <w:vAlign w:val="bottom"/>
            <w:hideMark/>
          </w:tcPr>
          <w:p w:rsidR="00742E30" w:rsidRDefault="00742E30">
            <w:pPr>
              <w:rPr>
                <w:rFonts w:ascii="Arial CE" w:hAnsi="Arial CE" w:cs="Arial CE"/>
                <w:sz w:val="18"/>
                <w:szCs w:val="18"/>
              </w:rPr>
            </w:pPr>
            <w:r>
              <w:rPr>
                <w:rFonts w:ascii="Arial CE" w:hAnsi="Arial CE" w:cs="Arial CE"/>
                <w:sz w:val="18"/>
                <w:szCs w:val="18"/>
              </w:rPr>
              <w:t>Chodník ul. Roztocká - projekce</w:t>
            </w:r>
          </w:p>
        </w:tc>
        <w:tc>
          <w:tcPr>
            <w:tcW w:w="136" w:type="dxa"/>
            <w:tcBorders>
              <w:top w:val="nil"/>
              <w:left w:val="nil"/>
              <w:bottom w:val="nil"/>
              <w:right w:val="nil"/>
            </w:tcBorders>
            <w:shd w:val="clear" w:color="auto" w:fill="auto"/>
            <w:noWrap/>
            <w:vAlign w:val="bottom"/>
            <w:hideMark/>
          </w:tcPr>
          <w:p w:rsidR="00742E30" w:rsidRDefault="00742E30">
            <w:pPr>
              <w:rPr>
                <w:rFonts w:ascii="Arial CE" w:hAnsi="Arial CE" w:cs="Arial CE"/>
                <w:sz w:val="16"/>
                <w:szCs w:val="16"/>
              </w:rPr>
            </w:pPr>
          </w:p>
        </w:tc>
        <w:tc>
          <w:tcPr>
            <w:tcW w:w="1196" w:type="dxa"/>
            <w:tcBorders>
              <w:top w:val="nil"/>
              <w:left w:val="nil"/>
              <w:bottom w:val="nil"/>
              <w:right w:val="nil"/>
            </w:tcBorders>
            <w:shd w:val="clear" w:color="auto" w:fill="auto"/>
            <w:vAlign w:val="bottom"/>
            <w:hideMark/>
          </w:tcPr>
          <w:p w:rsidR="00742E30" w:rsidRDefault="00742E30">
            <w:pPr>
              <w:rPr>
                <w:rFonts w:ascii="Arial CE" w:hAnsi="Arial CE" w:cs="Arial CE"/>
                <w:sz w:val="16"/>
                <w:szCs w:val="16"/>
              </w:rPr>
            </w:pPr>
          </w:p>
        </w:tc>
        <w:tc>
          <w:tcPr>
            <w:tcW w:w="1665" w:type="dxa"/>
            <w:tcBorders>
              <w:top w:val="nil"/>
              <w:left w:val="single" w:sz="4" w:space="0" w:color="auto"/>
              <w:bottom w:val="nil"/>
              <w:right w:val="single" w:sz="4" w:space="0" w:color="auto"/>
            </w:tcBorders>
            <w:shd w:val="clear" w:color="auto" w:fill="auto"/>
            <w:noWrap/>
            <w:vAlign w:val="bottom"/>
            <w:hideMark/>
          </w:tcPr>
          <w:p w:rsidR="00742E30" w:rsidRDefault="00742E30">
            <w:pPr>
              <w:jc w:val="right"/>
              <w:rPr>
                <w:rFonts w:ascii="Arial CE" w:hAnsi="Arial CE" w:cs="Arial CE"/>
                <w:sz w:val="20"/>
                <w:szCs w:val="20"/>
              </w:rPr>
            </w:pPr>
            <w:r>
              <w:rPr>
                <w:rFonts w:ascii="Arial CE" w:hAnsi="Arial CE" w:cs="Arial CE"/>
                <w:sz w:val="20"/>
                <w:szCs w:val="20"/>
              </w:rPr>
              <w:t>500</w:t>
            </w:r>
          </w:p>
        </w:tc>
        <w:tc>
          <w:tcPr>
            <w:tcW w:w="2328" w:type="dxa"/>
            <w:tcBorders>
              <w:top w:val="nil"/>
              <w:left w:val="nil"/>
              <w:bottom w:val="nil"/>
              <w:right w:val="single" w:sz="8" w:space="0" w:color="auto"/>
            </w:tcBorders>
            <w:shd w:val="clear" w:color="auto" w:fill="auto"/>
            <w:vAlign w:val="bottom"/>
            <w:hideMark/>
          </w:tcPr>
          <w:p w:rsidR="00742E30" w:rsidRDefault="00742E30">
            <w:pPr>
              <w:rPr>
                <w:rFonts w:ascii="Arial CE" w:hAnsi="Arial CE" w:cs="Arial CE"/>
                <w:sz w:val="16"/>
                <w:szCs w:val="16"/>
              </w:rPr>
            </w:pPr>
            <w:r>
              <w:rPr>
                <w:rFonts w:ascii="Arial CE" w:hAnsi="Arial CE" w:cs="Arial CE"/>
                <w:sz w:val="16"/>
                <w:szCs w:val="16"/>
              </w:rPr>
              <w:t> </w:t>
            </w:r>
          </w:p>
        </w:tc>
      </w:tr>
      <w:tr w:rsidR="00742E30" w:rsidTr="00742E30">
        <w:trPr>
          <w:trHeight w:val="255"/>
        </w:trPr>
        <w:tc>
          <w:tcPr>
            <w:tcW w:w="4111" w:type="dxa"/>
            <w:tcBorders>
              <w:top w:val="nil"/>
              <w:left w:val="single" w:sz="8" w:space="0" w:color="auto"/>
              <w:bottom w:val="nil"/>
              <w:right w:val="nil"/>
            </w:tcBorders>
            <w:shd w:val="clear" w:color="auto" w:fill="auto"/>
            <w:noWrap/>
            <w:vAlign w:val="bottom"/>
            <w:hideMark/>
          </w:tcPr>
          <w:p w:rsidR="00742E30" w:rsidRDefault="00742E30">
            <w:pPr>
              <w:rPr>
                <w:rFonts w:ascii="Arial CE" w:hAnsi="Arial CE" w:cs="Arial CE"/>
                <w:sz w:val="18"/>
                <w:szCs w:val="18"/>
              </w:rPr>
            </w:pPr>
            <w:r>
              <w:rPr>
                <w:rFonts w:ascii="Arial CE" w:hAnsi="Arial CE" w:cs="Arial CE"/>
                <w:sz w:val="18"/>
                <w:szCs w:val="18"/>
              </w:rPr>
              <w:t>Pečovatelská služba - automobil</w:t>
            </w:r>
          </w:p>
        </w:tc>
        <w:tc>
          <w:tcPr>
            <w:tcW w:w="136" w:type="dxa"/>
            <w:tcBorders>
              <w:top w:val="nil"/>
              <w:left w:val="nil"/>
              <w:bottom w:val="nil"/>
              <w:right w:val="nil"/>
            </w:tcBorders>
            <w:shd w:val="clear" w:color="auto" w:fill="auto"/>
            <w:noWrap/>
            <w:vAlign w:val="bottom"/>
            <w:hideMark/>
          </w:tcPr>
          <w:p w:rsidR="00742E30" w:rsidRDefault="00742E30">
            <w:pPr>
              <w:rPr>
                <w:rFonts w:ascii="Arial CE" w:hAnsi="Arial CE" w:cs="Arial CE"/>
                <w:sz w:val="16"/>
                <w:szCs w:val="16"/>
              </w:rPr>
            </w:pPr>
          </w:p>
        </w:tc>
        <w:tc>
          <w:tcPr>
            <w:tcW w:w="1196" w:type="dxa"/>
            <w:tcBorders>
              <w:top w:val="nil"/>
              <w:left w:val="nil"/>
              <w:bottom w:val="nil"/>
              <w:right w:val="nil"/>
            </w:tcBorders>
            <w:shd w:val="clear" w:color="auto" w:fill="auto"/>
            <w:vAlign w:val="bottom"/>
            <w:hideMark/>
          </w:tcPr>
          <w:p w:rsidR="00742E30" w:rsidRDefault="00742E30">
            <w:pPr>
              <w:rPr>
                <w:rFonts w:ascii="Arial CE" w:hAnsi="Arial CE" w:cs="Arial CE"/>
                <w:sz w:val="16"/>
                <w:szCs w:val="16"/>
              </w:rPr>
            </w:pPr>
          </w:p>
        </w:tc>
        <w:tc>
          <w:tcPr>
            <w:tcW w:w="1665" w:type="dxa"/>
            <w:tcBorders>
              <w:top w:val="nil"/>
              <w:left w:val="single" w:sz="4" w:space="0" w:color="auto"/>
              <w:bottom w:val="nil"/>
              <w:right w:val="single" w:sz="4" w:space="0" w:color="auto"/>
            </w:tcBorders>
            <w:shd w:val="clear" w:color="auto" w:fill="auto"/>
            <w:noWrap/>
            <w:vAlign w:val="bottom"/>
            <w:hideMark/>
          </w:tcPr>
          <w:p w:rsidR="00742E30" w:rsidRDefault="00742E30">
            <w:pPr>
              <w:jc w:val="right"/>
              <w:rPr>
                <w:rFonts w:ascii="Arial CE" w:hAnsi="Arial CE" w:cs="Arial CE"/>
                <w:sz w:val="20"/>
                <w:szCs w:val="20"/>
              </w:rPr>
            </w:pPr>
            <w:r>
              <w:rPr>
                <w:rFonts w:ascii="Arial CE" w:hAnsi="Arial CE" w:cs="Arial CE"/>
                <w:sz w:val="20"/>
                <w:szCs w:val="20"/>
              </w:rPr>
              <w:t>450</w:t>
            </w:r>
          </w:p>
        </w:tc>
        <w:tc>
          <w:tcPr>
            <w:tcW w:w="2328" w:type="dxa"/>
            <w:tcBorders>
              <w:top w:val="nil"/>
              <w:left w:val="nil"/>
              <w:bottom w:val="nil"/>
              <w:right w:val="single" w:sz="8" w:space="0" w:color="auto"/>
            </w:tcBorders>
            <w:shd w:val="clear" w:color="auto" w:fill="auto"/>
            <w:vAlign w:val="bottom"/>
            <w:hideMark/>
          </w:tcPr>
          <w:p w:rsidR="00742E30" w:rsidRDefault="00742E30">
            <w:pPr>
              <w:rPr>
                <w:rFonts w:ascii="Arial CE" w:hAnsi="Arial CE" w:cs="Arial CE"/>
                <w:sz w:val="16"/>
                <w:szCs w:val="16"/>
              </w:rPr>
            </w:pPr>
            <w:r>
              <w:rPr>
                <w:rFonts w:ascii="Arial CE" w:hAnsi="Arial CE" w:cs="Arial CE"/>
                <w:sz w:val="16"/>
                <w:szCs w:val="16"/>
              </w:rPr>
              <w:t> </w:t>
            </w:r>
          </w:p>
        </w:tc>
      </w:tr>
      <w:tr w:rsidR="00742E30" w:rsidTr="00742E30">
        <w:trPr>
          <w:trHeight w:val="255"/>
        </w:trPr>
        <w:tc>
          <w:tcPr>
            <w:tcW w:w="4111" w:type="dxa"/>
            <w:tcBorders>
              <w:top w:val="nil"/>
              <w:left w:val="single" w:sz="8" w:space="0" w:color="auto"/>
              <w:bottom w:val="nil"/>
              <w:right w:val="nil"/>
            </w:tcBorders>
            <w:shd w:val="clear" w:color="auto" w:fill="auto"/>
            <w:noWrap/>
            <w:vAlign w:val="bottom"/>
            <w:hideMark/>
          </w:tcPr>
          <w:p w:rsidR="00742E30" w:rsidRDefault="00742E30">
            <w:pPr>
              <w:rPr>
                <w:rFonts w:ascii="Arial CE" w:hAnsi="Arial CE" w:cs="Arial CE"/>
                <w:sz w:val="18"/>
                <w:szCs w:val="18"/>
              </w:rPr>
            </w:pPr>
            <w:r>
              <w:rPr>
                <w:rFonts w:ascii="Arial CE" w:hAnsi="Arial CE" w:cs="Arial CE"/>
                <w:sz w:val="18"/>
                <w:szCs w:val="18"/>
              </w:rPr>
              <w:t>Výkup pozemků</w:t>
            </w:r>
          </w:p>
        </w:tc>
        <w:tc>
          <w:tcPr>
            <w:tcW w:w="136" w:type="dxa"/>
            <w:tcBorders>
              <w:top w:val="nil"/>
              <w:left w:val="nil"/>
              <w:bottom w:val="nil"/>
              <w:right w:val="nil"/>
            </w:tcBorders>
            <w:shd w:val="clear" w:color="auto" w:fill="auto"/>
            <w:noWrap/>
            <w:vAlign w:val="bottom"/>
            <w:hideMark/>
          </w:tcPr>
          <w:p w:rsidR="00742E30" w:rsidRDefault="00742E30">
            <w:pPr>
              <w:rPr>
                <w:rFonts w:ascii="Arial CE" w:hAnsi="Arial CE" w:cs="Arial CE"/>
                <w:sz w:val="16"/>
                <w:szCs w:val="16"/>
              </w:rPr>
            </w:pPr>
          </w:p>
        </w:tc>
        <w:tc>
          <w:tcPr>
            <w:tcW w:w="1196" w:type="dxa"/>
            <w:tcBorders>
              <w:top w:val="nil"/>
              <w:left w:val="nil"/>
              <w:bottom w:val="nil"/>
              <w:right w:val="nil"/>
            </w:tcBorders>
            <w:shd w:val="clear" w:color="auto" w:fill="auto"/>
            <w:vAlign w:val="bottom"/>
            <w:hideMark/>
          </w:tcPr>
          <w:p w:rsidR="00742E30" w:rsidRDefault="00742E30">
            <w:pPr>
              <w:rPr>
                <w:rFonts w:ascii="Arial CE" w:hAnsi="Arial CE" w:cs="Arial CE"/>
                <w:sz w:val="16"/>
                <w:szCs w:val="16"/>
              </w:rPr>
            </w:pPr>
          </w:p>
        </w:tc>
        <w:tc>
          <w:tcPr>
            <w:tcW w:w="1665" w:type="dxa"/>
            <w:tcBorders>
              <w:top w:val="nil"/>
              <w:left w:val="single" w:sz="4" w:space="0" w:color="auto"/>
              <w:bottom w:val="nil"/>
              <w:right w:val="single" w:sz="4" w:space="0" w:color="auto"/>
            </w:tcBorders>
            <w:shd w:val="clear" w:color="auto" w:fill="auto"/>
            <w:noWrap/>
            <w:vAlign w:val="bottom"/>
            <w:hideMark/>
          </w:tcPr>
          <w:p w:rsidR="00742E30" w:rsidRDefault="00742E30">
            <w:pPr>
              <w:jc w:val="right"/>
              <w:rPr>
                <w:rFonts w:ascii="Arial CE" w:hAnsi="Arial CE" w:cs="Arial CE"/>
                <w:sz w:val="20"/>
                <w:szCs w:val="20"/>
              </w:rPr>
            </w:pPr>
            <w:r>
              <w:rPr>
                <w:rFonts w:ascii="Arial CE" w:hAnsi="Arial CE" w:cs="Arial CE"/>
                <w:sz w:val="20"/>
                <w:szCs w:val="20"/>
              </w:rPr>
              <w:t>410</w:t>
            </w:r>
          </w:p>
        </w:tc>
        <w:tc>
          <w:tcPr>
            <w:tcW w:w="2328" w:type="dxa"/>
            <w:tcBorders>
              <w:top w:val="nil"/>
              <w:left w:val="nil"/>
              <w:bottom w:val="nil"/>
              <w:right w:val="single" w:sz="8" w:space="0" w:color="auto"/>
            </w:tcBorders>
            <w:shd w:val="clear" w:color="auto" w:fill="auto"/>
            <w:vAlign w:val="bottom"/>
            <w:hideMark/>
          </w:tcPr>
          <w:p w:rsidR="00742E30" w:rsidRDefault="00742E30">
            <w:pPr>
              <w:rPr>
                <w:rFonts w:ascii="Arial CE" w:hAnsi="Arial CE" w:cs="Arial CE"/>
                <w:sz w:val="16"/>
                <w:szCs w:val="16"/>
              </w:rPr>
            </w:pPr>
            <w:r>
              <w:rPr>
                <w:rFonts w:ascii="Arial CE" w:hAnsi="Arial CE" w:cs="Arial CE"/>
                <w:sz w:val="16"/>
                <w:szCs w:val="16"/>
              </w:rPr>
              <w:t> </w:t>
            </w:r>
          </w:p>
        </w:tc>
      </w:tr>
      <w:tr w:rsidR="00742E30" w:rsidTr="00742E30">
        <w:trPr>
          <w:trHeight w:val="255"/>
        </w:trPr>
        <w:tc>
          <w:tcPr>
            <w:tcW w:w="4111" w:type="dxa"/>
            <w:tcBorders>
              <w:top w:val="nil"/>
              <w:left w:val="single" w:sz="8" w:space="0" w:color="auto"/>
              <w:bottom w:val="nil"/>
              <w:right w:val="nil"/>
            </w:tcBorders>
            <w:shd w:val="clear" w:color="auto" w:fill="auto"/>
            <w:noWrap/>
            <w:vAlign w:val="bottom"/>
            <w:hideMark/>
          </w:tcPr>
          <w:p w:rsidR="00742E30" w:rsidRDefault="00742E30">
            <w:pPr>
              <w:rPr>
                <w:rFonts w:ascii="Arial CE" w:hAnsi="Arial CE" w:cs="Arial CE"/>
                <w:sz w:val="18"/>
                <w:szCs w:val="18"/>
              </w:rPr>
            </w:pPr>
            <w:r>
              <w:rPr>
                <w:rFonts w:ascii="Arial CE" w:hAnsi="Arial CE" w:cs="Arial CE"/>
                <w:sz w:val="18"/>
                <w:szCs w:val="18"/>
              </w:rPr>
              <w:t>Odkup komunikace Na Kozinci</w:t>
            </w:r>
          </w:p>
        </w:tc>
        <w:tc>
          <w:tcPr>
            <w:tcW w:w="136" w:type="dxa"/>
            <w:tcBorders>
              <w:top w:val="nil"/>
              <w:left w:val="nil"/>
              <w:bottom w:val="nil"/>
              <w:right w:val="nil"/>
            </w:tcBorders>
            <w:shd w:val="clear" w:color="auto" w:fill="auto"/>
            <w:noWrap/>
            <w:vAlign w:val="bottom"/>
            <w:hideMark/>
          </w:tcPr>
          <w:p w:rsidR="00742E30" w:rsidRDefault="00742E30">
            <w:pPr>
              <w:rPr>
                <w:rFonts w:ascii="Arial CE" w:hAnsi="Arial CE" w:cs="Arial CE"/>
                <w:sz w:val="16"/>
                <w:szCs w:val="16"/>
              </w:rPr>
            </w:pPr>
          </w:p>
        </w:tc>
        <w:tc>
          <w:tcPr>
            <w:tcW w:w="1196" w:type="dxa"/>
            <w:tcBorders>
              <w:top w:val="nil"/>
              <w:left w:val="nil"/>
              <w:bottom w:val="nil"/>
              <w:right w:val="nil"/>
            </w:tcBorders>
            <w:shd w:val="clear" w:color="auto" w:fill="auto"/>
            <w:vAlign w:val="bottom"/>
            <w:hideMark/>
          </w:tcPr>
          <w:p w:rsidR="00742E30" w:rsidRDefault="00742E30">
            <w:pPr>
              <w:rPr>
                <w:rFonts w:ascii="Arial CE" w:hAnsi="Arial CE" w:cs="Arial CE"/>
                <w:sz w:val="16"/>
                <w:szCs w:val="16"/>
              </w:rPr>
            </w:pPr>
          </w:p>
        </w:tc>
        <w:tc>
          <w:tcPr>
            <w:tcW w:w="1665" w:type="dxa"/>
            <w:tcBorders>
              <w:top w:val="nil"/>
              <w:left w:val="single" w:sz="4" w:space="0" w:color="auto"/>
              <w:bottom w:val="nil"/>
              <w:right w:val="single" w:sz="4" w:space="0" w:color="auto"/>
            </w:tcBorders>
            <w:shd w:val="clear" w:color="auto" w:fill="auto"/>
            <w:noWrap/>
            <w:vAlign w:val="bottom"/>
            <w:hideMark/>
          </w:tcPr>
          <w:p w:rsidR="00742E30" w:rsidRDefault="00742E30">
            <w:pPr>
              <w:jc w:val="right"/>
              <w:rPr>
                <w:rFonts w:ascii="Arial CE" w:hAnsi="Arial CE" w:cs="Arial CE"/>
                <w:sz w:val="20"/>
                <w:szCs w:val="20"/>
              </w:rPr>
            </w:pPr>
            <w:r>
              <w:rPr>
                <w:rFonts w:ascii="Arial CE" w:hAnsi="Arial CE" w:cs="Arial CE"/>
                <w:sz w:val="20"/>
                <w:szCs w:val="20"/>
              </w:rPr>
              <w:t>400</w:t>
            </w:r>
          </w:p>
        </w:tc>
        <w:tc>
          <w:tcPr>
            <w:tcW w:w="2328" w:type="dxa"/>
            <w:tcBorders>
              <w:top w:val="nil"/>
              <w:left w:val="nil"/>
              <w:bottom w:val="nil"/>
              <w:right w:val="single" w:sz="8" w:space="0" w:color="auto"/>
            </w:tcBorders>
            <w:shd w:val="clear" w:color="auto" w:fill="auto"/>
            <w:vAlign w:val="bottom"/>
            <w:hideMark/>
          </w:tcPr>
          <w:p w:rsidR="00742E30" w:rsidRDefault="00742E30">
            <w:pPr>
              <w:rPr>
                <w:rFonts w:ascii="Arial CE" w:hAnsi="Arial CE" w:cs="Arial CE"/>
                <w:sz w:val="16"/>
                <w:szCs w:val="16"/>
              </w:rPr>
            </w:pPr>
            <w:r>
              <w:rPr>
                <w:rFonts w:ascii="Arial CE" w:hAnsi="Arial CE" w:cs="Arial CE"/>
                <w:sz w:val="16"/>
                <w:szCs w:val="16"/>
              </w:rPr>
              <w:t> </w:t>
            </w:r>
          </w:p>
        </w:tc>
      </w:tr>
      <w:tr w:rsidR="00742E30" w:rsidTr="00742E30">
        <w:trPr>
          <w:trHeight w:val="255"/>
        </w:trPr>
        <w:tc>
          <w:tcPr>
            <w:tcW w:w="4111" w:type="dxa"/>
            <w:tcBorders>
              <w:top w:val="nil"/>
              <w:left w:val="single" w:sz="8" w:space="0" w:color="auto"/>
              <w:bottom w:val="nil"/>
              <w:right w:val="nil"/>
            </w:tcBorders>
            <w:shd w:val="clear" w:color="auto" w:fill="auto"/>
            <w:noWrap/>
            <w:vAlign w:val="bottom"/>
            <w:hideMark/>
          </w:tcPr>
          <w:p w:rsidR="00742E30" w:rsidRDefault="00742E30">
            <w:pPr>
              <w:rPr>
                <w:rFonts w:ascii="Arial CE" w:hAnsi="Arial CE" w:cs="Arial CE"/>
                <w:sz w:val="18"/>
                <w:szCs w:val="18"/>
              </w:rPr>
            </w:pPr>
            <w:r>
              <w:rPr>
                <w:rFonts w:ascii="Arial CE" w:hAnsi="Arial CE" w:cs="Arial CE"/>
                <w:sz w:val="18"/>
                <w:szCs w:val="18"/>
              </w:rPr>
              <w:t>Cyklostezka "Za prací" - projekce</w:t>
            </w:r>
          </w:p>
        </w:tc>
        <w:tc>
          <w:tcPr>
            <w:tcW w:w="136" w:type="dxa"/>
            <w:tcBorders>
              <w:top w:val="nil"/>
              <w:left w:val="nil"/>
              <w:bottom w:val="nil"/>
              <w:right w:val="nil"/>
            </w:tcBorders>
            <w:shd w:val="clear" w:color="auto" w:fill="auto"/>
            <w:noWrap/>
            <w:vAlign w:val="bottom"/>
            <w:hideMark/>
          </w:tcPr>
          <w:p w:rsidR="00742E30" w:rsidRDefault="00742E30">
            <w:pPr>
              <w:rPr>
                <w:rFonts w:ascii="Arial CE" w:hAnsi="Arial CE" w:cs="Arial CE"/>
                <w:sz w:val="16"/>
                <w:szCs w:val="16"/>
              </w:rPr>
            </w:pPr>
          </w:p>
        </w:tc>
        <w:tc>
          <w:tcPr>
            <w:tcW w:w="1196" w:type="dxa"/>
            <w:tcBorders>
              <w:top w:val="nil"/>
              <w:left w:val="nil"/>
              <w:bottom w:val="nil"/>
              <w:right w:val="nil"/>
            </w:tcBorders>
            <w:shd w:val="clear" w:color="auto" w:fill="auto"/>
            <w:vAlign w:val="bottom"/>
            <w:hideMark/>
          </w:tcPr>
          <w:p w:rsidR="00742E30" w:rsidRDefault="00742E30">
            <w:pPr>
              <w:rPr>
                <w:rFonts w:ascii="Arial CE" w:hAnsi="Arial CE" w:cs="Arial CE"/>
                <w:sz w:val="16"/>
                <w:szCs w:val="16"/>
              </w:rPr>
            </w:pPr>
          </w:p>
        </w:tc>
        <w:tc>
          <w:tcPr>
            <w:tcW w:w="1665" w:type="dxa"/>
            <w:tcBorders>
              <w:top w:val="nil"/>
              <w:left w:val="single" w:sz="4" w:space="0" w:color="auto"/>
              <w:bottom w:val="nil"/>
              <w:right w:val="single" w:sz="4" w:space="0" w:color="auto"/>
            </w:tcBorders>
            <w:shd w:val="clear" w:color="auto" w:fill="auto"/>
            <w:noWrap/>
            <w:vAlign w:val="bottom"/>
            <w:hideMark/>
          </w:tcPr>
          <w:p w:rsidR="00742E30" w:rsidRDefault="00742E30">
            <w:pPr>
              <w:jc w:val="right"/>
              <w:rPr>
                <w:rFonts w:ascii="Arial CE" w:hAnsi="Arial CE" w:cs="Arial CE"/>
                <w:sz w:val="20"/>
                <w:szCs w:val="20"/>
              </w:rPr>
            </w:pPr>
            <w:r>
              <w:rPr>
                <w:rFonts w:ascii="Arial CE" w:hAnsi="Arial CE" w:cs="Arial CE"/>
                <w:sz w:val="20"/>
                <w:szCs w:val="20"/>
              </w:rPr>
              <w:t>400</w:t>
            </w:r>
          </w:p>
        </w:tc>
        <w:tc>
          <w:tcPr>
            <w:tcW w:w="2328" w:type="dxa"/>
            <w:tcBorders>
              <w:top w:val="nil"/>
              <w:left w:val="nil"/>
              <w:bottom w:val="nil"/>
              <w:right w:val="single" w:sz="8" w:space="0" w:color="auto"/>
            </w:tcBorders>
            <w:shd w:val="clear" w:color="auto" w:fill="auto"/>
            <w:vAlign w:val="bottom"/>
            <w:hideMark/>
          </w:tcPr>
          <w:p w:rsidR="00742E30" w:rsidRDefault="00742E30">
            <w:pPr>
              <w:rPr>
                <w:rFonts w:ascii="Arial CE" w:hAnsi="Arial CE" w:cs="Arial CE"/>
                <w:sz w:val="16"/>
                <w:szCs w:val="16"/>
              </w:rPr>
            </w:pPr>
            <w:r>
              <w:rPr>
                <w:rFonts w:ascii="Arial CE" w:hAnsi="Arial CE" w:cs="Arial CE"/>
                <w:sz w:val="16"/>
                <w:szCs w:val="16"/>
              </w:rPr>
              <w:t> </w:t>
            </w:r>
          </w:p>
        </w:tc>
      </w:tr>
      <w:tr w:rsidR="00742E30" w:rsidTr="00742E30">
        <w:trPr>
          <w:trHeight w:val="255"/>
        </w:trPr>
        <w:tc>
          <w:tcPr>
            <w:tcW w:w="4247" w:type="dxa"/>
            <w:gridSpan w:val="2"/>
            <w:tcBorders>
              <w:top w:val="nil"/>
              <w:left w:val="single" w:sz="8" w:space="0" w:color="auto"/>
              <w:bottom w:val="nil"/>
              <w:right w:val="nil"/>
            </w:tcBorders>
            <w:shd w:val="clear" w:color="auto" w:fill="auto"/>
            <w:noWrap/>
            <w:vAlign w:val="bottom"/>
            <w:hideMark/>
          </w:tcPr>
          <w:p w:rsidR="00742E30" w:rsidRDefault="00742E30">
            <w:pPr>
              <w:rPr>
                <w:rFonts w:ascii="Arial CE" w:hAnsi="Arial CE" w:cs="Arial CE"/>
                <w:sz w:val="18"/>
                <w:szCs w:val="18"/>
              </w:rPr>
            </w:pPr>
            <w:r>
              <w:rPr>
                <w:rFonts w:ascii="Arial CE" w:hAnsi="Arial CE" w:cs="Arial CE"/>
                <w:sz w:val="18"/>
                <w:szCs w:val="18"/>
              </w:rPr>
              <w:t>Projektová dokumentace nad 60000,- Kč</w:t>
            </w:r>
          </w:p>
        </w:tc>
        <w:tc>
          <w:tcPr>
            <w:tcW w:w="1196" w:type="dxa"/>
            <w:tcBorders>
              <w:top w:val="nil"/>
              <w:left w:val="nil"/>
              <w:bottom w:val="nil"/>
              <w:right w:val="nil"/>
            </w:tcBorders>
            <w:shd w:val="clear" w:color="auto" w:fill="auto"/>
            <w:vAlign w:val="bottom"/>
            <w:hideMark/>
          </w:tcPr>
          <w:p w:rsidR="00742E30" w:rsidRDefault="00742E30">
            <w:pPr>
              <w:rPr>
                <w:rFonts w:ascii="Arial CE" w:hAnsi="Arial CE" w:cs="Arial CE"/>
                <w:sz w:val="16"/>
                <w:szCs w:val="16"/>
              </w:rPr>
            </w:pPr>
          </w:p>
        </w:tc>
        <w:tc>
          <w:tcPr>
            <w:tcW w:w="1665" w:type="dxa"/>
            <w:tcBorders>
              <w:top w:val="nil"/>
              <w:left w:val="single" w:sz="4" w:space="0" w:color="auto"/>
              <w:bottom w:val="nil"/>
              <w:right w:val="single" w:sz="4" w:space="0" w:color="auto"/>
            </w:tcBorders>
            <w:shd w:val="clear" w:color="auto" w:fill="auto"/>
            <w:noWrap/>
            <w:vAlign w:val="bottom"/>
            <w:hideMark/>
          </w:tcPr>
          <w:p w:rsidR="00742E30" w:rsidRDefault="00742E30">
            <w:pPr>
              <w:jc w:val="right"/>
              <w:rPr>
                <w:rFonts w:ascii="Arial CE" w:hAnsi="Arial CE" w:cs="Arial CE"/>
                <w:sz w:val="20"/>
                <w:szCs w:val="20"/>
              </w:rPr>
            </w:pPr>
            <w:r>
              <w:rPr>
                <w:rFonts w:ascii="Arial CE" w:hAnsi="Arial CE" w:cs="Arial CE"/>
                <w:sz w:val="20"/>
                <w:szCs w:val="20"/>
              </w:rPr>
              <w:t>300</w:t>
            </w:r>
          </w:p>
        </w:tc>
        <w:tc>
          <w:tcPr>
            <w:tcW w:w="2328" w:type="dxa"/>
            <w:tcBorders>
              <w:top w:val="nil"/>
              <w:left w:val="nil"/>
              <w:bottom w:val="nil"/>
              <w:right w:val="single" w:sz="8" w:space="0" w:color="auto"/>
            </w:tcBorders>
            <w:shd w:val="clear" w:color="auto" w:fill="auto"/>
            <w:vAlign w:val="bottom"/>
            <w:hideMark/>
          </w:tcPr>
          <w:p w:rsidR="00742E30" w:rsidRDefault="00742E30">
            <w:pPr>
              <w:rPr>
                <w:rFonts w:ascii="Arial CE" w:hAnsi="Arial CE" w:cs="Arial CE"/>
                <w:sz w:val="16"/>
                <w:szCs w:val="16"/>
              </w:rPr>
            </w:pPr>
            <w:r>
              <w:rPr>
                <w:rFonts w:ascii="Arial CE" w:hAnsi="Arial CE" w:cs="Arial CE"/>
                <w:sz w:val="16"/>
                <w:szCs w:val="16"/>
              </w:rPr>
              <w:t> </w:t>
            </w:r>
          </w:p>
        </w:tc>
      </w:tr>
      <w:tr w:rsidR="00742E30" w:rsidTr="00742E30">
        <w:trPr>
          <w:trHeight w:val="255"/>
        </w:trPr>
        <w:tc>
          <w:tcPr>
            <w:tcW w:w="4111" w:type="dxa"/>
            <w:tcBorders>
              <w:top w:val="nil"/>
              <w:left w:val="single" w:sz="8" w:space="0" w:color="auto"/>
              <w:bottom w:val="nil"/>
              <w:right w:val="nil"/>
            </w:tcBorders>
            <w:shd w:val="clear" w:color="auto" w:fill="auto"/>
            <w:noWrap/>
            <w:vAlign w:val="bottom"/>
            <w:hideMark/>
          </w:tcPr>
          <w:p w:rsidR="00742E30" w:rsidRDefault="00742E30">
            <w:pPr>
              <w:rPr>
                <w:rFonts w:ascii="Arial CE" w:hAnsi="Arial CE" w:cs="Arial CE"/>
                <w:sz w:val="18"/>
                <w:szCs w:val="18"/>
              </w:rPr>
            </w:pPr>
            <w:r>
              <w:rPr>
                <w:rFonts w:ascii="Arial CE" w:hAnsi="Arial CE" w:cs="Arial CE"/>
                <w:sz w:val="18"/>
                <w:szCs w:val="18"/>
              </w:rPr>
              <w:t>Přístavba kolumbária</w:t>
            </w:r>
          </w:p>
        </w:tc>
        <w:tc>
          <w:tcPr>
            <w:tcW w:w="136" w:type="dxa"/>
            <w:tcBorders>
              <w:top w:val="nil"/>
              <w:left w:val="nil"/>
              <w:bottom w:val="nil"/>
              <w:right w:val="nil"/>
            </w:tcBorders>
            <w:shd w:val="clear" w:color="auto" w:fill="auto"/>
            <w:noWrap/>
            <w:vAlign w:val="bottom"/>
            <w:hideMark/>
          </w:tcPr>
          <w:p w:rsidR="00742E30" w:rsidRDefault="00742E30">
            <w:pPr>
              <w:rPr>
                <w:rFonts w:ascii="Arial CE" w:hAnsi="Arial CE" w:cs="Arial CE"/>
                <w:sz w:val="16"/>
                <w:szCs w:val="16"/>
              </w:rPr>
            </w:pPr>
          </w:p>
        </w:tc>
        <w:tc>
          <w:tcPr>
            <w:tcW w:w="1196" w:type="dxa"/>
            <w:tcBorders>
              <w:top w:val="nil"/>
              <w:left w:val="nil"/>
              <w:bottom w:val="nil"/>
              <w:right w:val="nil"/>
            </w:tcBorders>
            <w:shd w:val="clear" w:color="auto" w:fill="auto"/>
            <w:vAlign w:val="bottom"/>
            <w:hideMark/>
          </w:tcPr>
          <w:p w:rsidR="00742E30" w:rsidRDefault="00742E30">
            <w:pPr>
              <w:rPr>
                <w:rFonts w:ascii="Arial CE" w:hAnsi="Arial CE" w:cs="Arial CE"/>
                <w:sz w:val="16"/>
                <w:szCs w:val="16"/>
              </w:rPr>
            </w:pPr>
          </w:p>
        </w:tc>
        <w:tc>
          <w:tcPr>
            <w:tcW w:w="1665" w:type="dxa"/>
            <w:tcBorders>
              <w:top w:val="nil"/>
              <w:left w:val="single" w:sz="4" w:space="0" w:color="auto"/>
              <w:bottom w:val="nil"/>
              <w:right w:val="single" w:sz="4" w:space="0" w:color="auto"/>
            </w:tcBorders>
            <w:shd w:val="clear" w:color="auto" w:fill="auto"/>
            <w:noWrap/>
            <w:vAlign w:val="bottom"/>
            <w:hideMark/>
          </w:tcPr>
          <w:p w:rsidR="00742E30" w:rsidRDefault="00742E30">
            <w:pPr>
              <w:jc w:val="right"/>
              <w:rPr>
                <w:rFonts w:ascii="Arial CE" w:hAnsi="Arial CE" w:cs="Arial CE"/>
                <w:sz w:val="20"/>
                <w:szCs w:val="20"/>
              </w:rPr>
            </w:pPr>
            <w:r>
              <w:rPr>
                <w:rFonts w:ascii="Arial CE" w:hAnsi="Arial CE" w:cs="Arial CE"/>
                <w:sz w:val="20"/>
                <w:szCs w:val="20"/>
              </w:rPr>
              <w:t>300</w:t>
            </w:r>
          </w:p>
        </w:tc>
        <w:tc>
          <w:tcPr>
            <w:tcW w:w="2328" w:type="dxa"/>
            <w:tcBorders>
              <w:top w:val="nil"/>
              <w:left w:val="nil"/>
              <w:bottom w:val="nil"/>
              <w:right w:val="single" w:sz="8" w:space="0" w:color="auto"/>
            </w:tcBorders>
            <w:shd w:val="clear" w:color="auto" w:fill="auto"/>
            <w:vAlign w:val="bottom"/>
            <w:hideMark/>
          </w:tcPr>
          <w:p w:rsidR="00742E30" w:rsidRDefault="00742E30">
            <w:pPr>
              <w:rPr>
                <w:rFonts w:ascii="Arial CE" w:hAnsi="Arial CE" w:cs="Arial CE"/>
                <w:sz w:val="16"/>
                <w:szCs w:val="16"/>
              </w:rPr>
            </w:pPr>
            <w:r>
              <w:rPr>
                <w:rFonts w:ascii="Arial CE" w:hAnsi="Arial CE" w:cs="Arial CE"/>
                <w:sz w:val="16"/>
                <w:szCs w:val="16"/>
              </w:rPr>
              <w:t> </w:t>
            </w:r>
          </w:p>
        </w:tc>
      </w:tr>
      <w:tr w:rsidR="00742E30" w:rsidTr="00742E30">
        <w:trPr>
          <w:trHeight w:val="255"/>
        </w:trPr>
        <w:tc>
          <w:tcPr>
            <w:tcW w:w="5443" w:type="dxa"/>
            <w:gridSpan w:val="3"/>
            <w:tcBorders>
              <w:top w:val="nil"/>
              <w:left w:val="single" w:sz="8" w:space="0" w:color="auto"/>
              <w:bottom w:val="nil"/>
              <w:right w:val="nil"/>
            </w:tcBorders>
            <w:shd w:val="clear" w:color="auto" w:fill="auto"/>
            <w:noWrap/>
            <w:vAlign w:val="bottom"/>
            <w:hideMark/>
          </w:tcPr>
          <w:p w:rsidR="00742E30" w:rsidRDefault="00742E30">
            <w:pPr>
              <w:rPr>
                <w:rFonts w:ascii="Arial CE" w:hAnsi="Arial CE" w:cs="Arial CE"/>
                <w:sz w:val="18"/>
                <w:szCs w:val="18"/>
              </w:rPr>
            </w:pPr>
            <w:r>
              <w:rPr>
                <w:rFonts w:ascii="Arial CE" w:hAnsi="Arial CE" w:cs="Arial CE"/>
                <w:sz w:val="18"/>
                <w:szCs w:val="18"/>
              </w:rPr>
              <w:t xml:space="preserve">Ostatní </w:t>
            </w:r>
            <w:r>
              <w:rPr>
                <w:rFonts w:ascii="Arial CE" w:hAnsi="Arial CE" w:cs="Arial CE"/>
                <w:sz w:val="16"/>
                <w:szCs w:val="16"/>
              </w:rPr>
              <w:t>(odpadový systém, dokončení PD čp. 64, ZŠI k žádosti IROP)</w:t>
            </w:r>
          </w:p>
        </w:tc>
        <w:tc>
          <w:tcPr>
            <w:tcW w:w="1665" w:type="dxa"/>
            <w:tcBorders>
              <w:top w:val="nil"/>
              <w:left w:val="single" w:sz="4" w:space="0" w:color="auto"/>
              <w:bottom w:val="nil"/>
              <w:right w:val="single" w:sz="4" w:space="0" w:color="auto"/>
            </w:tcBorders>
            <w:shd w:val="clear" w:color="auto" w:fill="auto"/>
            <w:noWrap/>
            <w:vAlign w:val="bottom"/>
            <w:hideMark/>
          </w:tcPr>
          <w:p w:rsidR="00742E30" w:rsidRDefault="00742E30">
            <w:pPr>
              <w:jc w:val="right"/>
              <w:rPr>
                <w:rFonts w:ascii="Arial CE" w:hAnsi="Arial CE" w:cs="Arial CE"/>
                <w:sz w:val="20"/>
                <w:szCs w:val="20"/>
              </w:rPr>
            </w:pPr>
            <w:r>
              <w:rPr>
                <w:rFonts w:ascii="Arial CE" w:hAnsi="Arial CE" w:cs="Arial CE"/>
                <w:sz w:val="20"/>
                <w:szCs w:val="20"/>
              </w:rPr>
              <w:t>255</w:t>
            </w:r>
          </w:p>
        </w:tc>
        <w:tc>
          <w:tcPr>
            <w:tcW w:w="2328" w:type="dxa"/>
            <w:tcBorders>
              <w:top w:val="nil"/>
              <w:left w:val="nil"/>
              <w:bottom w:val="nil"/>
              <w:right w:val="single" w:sz="8" w:space="0" w:color="auto"/>
            </w:tcBorders>
            <w:shd w:val="clear" w:color="auto" w:fill="auto"/>
            <w:vAlign w:val="bottom"/>
            <w:hideMark/>
          </w:tcPr>
          <w:p w:rsidR="00742E30" w:rsidRDefault="00742E30">
            <w:pPr>
              <w:rPr>
                <w:rFonts w:ascii="Arial CE" w:hAnsi="Arial CE" w:cs="Arial CE"/>
                <w:sz w:val="16"/>
                <w:szCs w:val="16"/>
              </w:rPr>
            </w:pPr>
            <w:r>
              <w:rPr>
                <w:rFonts w:ascii="Arial CE" w:hAnsi="Arial CE" w:cs="Arial CE"/>
                <w:sz w:val="16"/>
                <w:szCs w:val="16"/>
              </w:rPr>
              <w:t> </w:t>
            </w:r>
          </w:p>
        </w:tc>
      </w:tr>
      <w:tr w:rsidR="00742E30" w:rsidTr="00742E30">
        <w:trPr>
          <w:trHeight w:val="255"/>
        </w:trPr>
        <w:tc>
          <w:tcPr>
            <w:tcW w:w="4111" w:type="dxa"/>
            <w:tcBorders>
              <w:top w:val="nil"/>
              <w:left w:val="single" w:sz="8" w:space="0" w:color="auto"/>
              <w:bottom w:val="nil"/>
              <w:right w:val="nil"/>
            </w:tcBorders>
            <w:shd w:val="clear" w:color="auto" w:fill="auto"/>
            <w:noWrap/>
            <w:vAlign w:val="bottom"/>
            <w:hideMark/>
          </w:tcPr>
          <w:p w:rsidR="00742E30" w:rsidRDefault="00742E30">
            <w:pPr>
              <w:rPr>
                <w:rFonts w:ascii="Arial CE" w:hAnsi="Arial CE" w:cs="Arial CE"/>
                <w:sz w:val="18"/>
                <w:szCs w:val="18"/>
              </w:rPr>
            </w:pPr>
            <w:r>
              <w:rPr>
                <w:rFonts w:ascii="Arial CE" w:hAnsi="Arial CE" w:cs="Arial CE"/>
                <w:sz w:val="18"/>
                <w:szCs w:val="18"/>
              </w:rPr>
              <w:t>Rekonstrukce v areálu služeb</w:t>
            </w:r>
          </w:p>
        </w:tc>
        <w:tc>
          <w:tcPr>
            <w:tcW w:w="136" w:type="dxa"/>
            <w:tcBorders>
              <w:top w:val="nil"/>
              <w:left w:val="nil"/>
              <w:bottom w:val="nil"/>
              <w:right w:val="nil"/>
            </w:tcBorders>
            <w:shd w:val="clear" w:color="auto" w:fill="auto"/>
            <w:noWrap/>
            <w:vAlign w:val="bottom"/>
            <w:hideMark/>
          </w:tcPr>
          <w:p w:rsidR="00742E30" w:rsidRDefault="00742E30">
            <w:pPr>
              <w:rPr>
                <w:rFonts w:ascii="Arial CE" w:hAnsi="Arial CE" w:cs="Arial CE"/>
                <w:sz w:val="16"/>
                <w:szCs w:val="16"/>
              </w:rPr>
            </w:pPr>
          </w:p>
        </w:tc>
        <w:tc>
          <w:tcPr>
            <w:tcW w:w="1196" w:type="dxa"/>
            <w:tcBorders>
              <w:top w:val="nil"/>
              <w:left w:val="nil"/>
              <w:bottom w:val="nil"/>
              <w:right w:val="nil"/>
            </w:tcBorders>
            <w:shd w:val="clear" w:color="auto" w:fill="auto"/>
            <w:vAlign w:val="bottom"/>
            <w:hideMark/>
          </w:tcPr>
          <w:p w:rsidR="00742E30" w:rsidRDefault="00742E30">
            <w:pPr>
              <w:rPr>
                <w:rFonts w:ascii="Arial CE" w:hAnsi="Arial CE" w:cs="Arial CE"/>
                <w:sz w:val="16"/>
                <w:szCs w:val="16"/>
              </w:rPr>
            </w:pPr>
          </w:p>
        </w:tc>
        <w:tc>
          <w:tcPr>
            <w:tcW w:w="1665" w:type="dxa"/>
            <w:tcBorders>
              <w:top w:val="nil"/>
              <w:left w:val="single" w:sz="4" w:space="0" w:color="auto"/>
              <w:bottom w:val="nil"/>
              <w:right w:val="single" w:sz="4" w:space="0" w:color="auto"/>
            </w:tcBorders>
            <w:shd w:val="clear" w:color="auto" w:fill="auto"/>
            <w:noWrap/>
            <w:vAlign w:val="bottom"/>
            <w:hideMark/>
          </w:tcPr>
          <w:p w:rsidR="00742E30" w:rsidRDefault="00742E30">
            <w:pPr>
              <w:jc w:val="right"/>
              <w:rPr>
                <w:rFonts w:ascii="Arial CE" w:hAnsi="Arial CE" w:cs="Arial CE"/>
                <w:sz w:val="20"/>
                <w:szCs w:val="20"/>
              </w:rPr>
            </w:pPr>
            <w:r>
              <w:rPr>
                <w:rFonts w:ascii="Arial CE" w:hAnsi="Arial CE" w:cs="Arial CE"/>
                <w:sz w:val="20"/>
                <w:szCs w:val="20"/>
              </w:rPr>
              <w:t>150</w:t>
            </w:r>
          </w:p>
        </w:tc>
        <w:tc>
          <w:tcPr>
            <w:tcW w:w="2328" w:type="dxa"/>
            <w:tcBorders>
              <w:top w:val="nil"/>
              <w:left w:val="nil"/>
              <w:bottom w:val="nil"/>
              <w:right w:val="single" w:sz="8" w:space="0" w:color="auto"/>
            </w:tcBorders>
            <w:shd w:val="clear" w:color="auto" w:fill="auto"/>
            <w:vAlign w:val="bottom"/>
            <w:hideMark/>
          </w:tcPr>
          <w:p w:rsidR="00742E30" w:rsidRDefault="00742E30">
            <w:pPr>
              <w:rPr>
                <w:rFonts w:ascii="Arial CE" w:hAnsi="Arial CE" w:cs="Arial CE"/>
                <w:sz w:val="16"/>
                <w:szCs w:val="16"/>
              </w:rPr>
            </w:pPr>
            <w:r>
              <w:rPr>
                <w:rFonts w:ascii="Arial CE" w:hAnsi="Arial CE" w:cs="Arial CE"/>
                <w:sz w:val="16"/>
                <w:szCs w:val="16"/>
              </w:rPr>
              <w:t> </w:t>
            </w:r>
          </w:p>
        </w:tc>
      </w:tr>
      <w:tr w:rsidR="00742E30" w:rsidTr="00742E30">
        <w:trPr>
          <w:trHeight w:val="270"/>
        </w:trPr>
        <w:tc>
          <w:tcPr>
            <w:tcW w:w="4111" w:type="dxa"/>
            <w:tcBorders>
              <w:top w:val="nil"/>
              <w:left w:val="single" w:sz="8" w:space="0" w:color="auto"/>
              <w:bottom w:val="nil"/>
              <w:right w:val="nil"/>
            </w:tcBorders>
            <w:shd w:val="clear" w:color="auto" w:fill="auto"/>
            <w:noWrap/>
            <w:vAlign w:val="bottom"/>
            <w:hideMark/>
          </w:tcPr>
          <w:p w:rsidR="00742E30" w:rsidRDefault="00742E30">
            <w:pPr>
              <w:rPr>
                <w:rFonts w:ascii="Arial CE" w:hAnsi="Arial CE" w:cs="Arial CE"/>
                <w:sz w:val="18"/>
                <w:szCs w:val="18"/>
              </w:rPr>
            </w:pPr>
            <w:r>
              <w:rPr>
                <w:rFonts w:ascii="Arial CE" w:hAnsi="Arial CE" w:cs="Arial CE"/>
                <w:sz w:val="18"/>
                <w:szCs w:val="18"/>
              </w:rPr>
              <w:t xml:space="preserve">Investiční rozpočtová rezerva </w:t>
            </w:r>
          </w:p>
        </w:tc>
        <w:tc>
          <w:tcPr>
            <w:tcW w:w="136" w:type="dxa"/>
            <w:tcBorders>
              <w:top w:val="nil"/>
              <w:left w:val="nil"/>
              <w:bottom w:val="nil"/>
              <w:right w:val="nil"/>
            </w:tcBorders>
            <w:shd w:val="clear" w:color="auto" w:fill="auto"/>
            <w:noWrap/>
            <w:vAlign w:val="bottom"/>
            <w:hideMark/>
          </w:tcPr>
          <w:p w:rsidR="00742E30" w:rsidRDefault="00742E30">
            <w:pPr>
              <w:rPr>
                <w:rFonts w:ascii="Arial CE" w:hAnsi="Arial CE" w:cs="Arial CE"/>
                <w:sz w:val="16"/>
                <w:szCs w:val="16"/>
              </w:rPr>
            </w:pPr>
          </w:p>
        </w:tc>
        <w:tc>
          <w:tcPr>
            <w:tcW w:w="1196" w:type="dxa"/>
            <w:tcBorders>
              <w:top w:val="nil"/>
              <w:left w:val="nil"/>
              <w:bottom w:val="nil"/>
              <w:right w:val="nil"/>
            </w:tcBorders>
            <w:shd w:val="clear" w:color="auto" w:fill="auto"/>
            <w:vAlign w:val="bottom"/>
            <w:hideMark/>
          </w:tcPr>
          <w:p w:rsidR="00742E30" w:rsidRDefault="00742E30">
            <w:pPr>
              <w:rPr>
                <w:rFonts w:ascii="Arial CE" w:hAnsi="Arial CE" w:cs="Arial CE"/>
                <w:sz w:val="16"/>
                <w:szCs w:val="16"/>
              </w:rPr>
            </w:pPr>
          </w:p>
        </w:tc>
        <w:tc>
          <w:tcPr>
            <w:tcW w:w="1665" w:type="dxa"/>
            <w:tcBorders>
              <w:top w:val="nil"/>
              <w:left w:val="single" w:sz="4" w:space="0" w:color="auto"/>
              <w:bottom w:val="nil"/>
              <w:right w:val="single" w:sz="4" w:space="0" w:color="auto"/>
            </w:tcBorders>
            <w:shd w:val="clear" w:color="auto" w:fill="auto"/>
            <w:noWrap/>
            <w:vAlign w:val="bottom"/>
            <w:hideMark/>
          </w:tcPr>
          <w:p w:rsidR="00742E30" w:rsidRDefault="00742E30">
            <w:pPr>
              <w:jc w:val="right"/>
              <w:rPr>
                <w:rFonts w:ascii="Arial CE" w:hAnsi="Arial CE" w:cs="Arial CE"/>
                <w:sz w:val="20"/>
                <w:szCs w:val="20"/>
              </w:rPr>
            </w:pPr>
            <w:r>
              <w:rPr>
                <w:rFonts w:ascii="Arial CE" w:hAnsi="Arial CE" w:cs="Arial CE"/>
                <w:sz w:val="20"/>
                <w:szCs w:val="20"/>
              </w:rPr>
              <w:t>1 000</w:t>
            </w:r>
          </w:p>
        </w:tc>
        <w:tc>
          <w:tcPr>
            <w:tcW w:w="2328" w:type="dxa"/>
            <w:tcBorders>
              <w:top w:val="nil"/>
              <w:left w:val="nil"/>
              <w:bottom w:val="nil"/>
              <w:right w:val="single" w:sz="8" w:space="0" w:color="auto"/>
            </w:tcBorders>
            <w:shd w:val="clear" w:color="auto" w:fill="auto"/>
            <w:vAlign w:val="bottom"/>
            <w:hideMark/>
          </w:tcPr>
          <w:p w:rsidR="00742E30" w:rsidRDefault="00742E30">
            <w:pPr>
              <w:rPr>
                <w:rFonts w:ascii="Arial CE" w:hAnsi="Arial CE" w:cs="Arial CE"/>
                <w:sz w:val="16"/>
                <w:szCs w:val="16"/>
              </w:rPr>
            </w:pPr>
            <w:r>
              <w:rPr>
                <w:rFonts w:ascii="Arial CE" w:hAnsi="Arial CE" w:cs="Arial CE"/>
                <w:sz w:val="16"/>
                <w:szCs w:val="16"/>
              </w:rPr>
              <w:t> </w:t>
            </w:r>
          </w:p>
        </w:tc>
      </w:tr>
      <w:tr w:rsidR="00742E30" w:rsidTr="00742E30">
        <w:trPr>
          <w:trHeight w:val="270"/>
        </w:trPr>
        <w:tc>
          <w:tcPr>
            <w:tcW w:w="4111" w:type="dxa"/>
            <w:tcBorders>
              <w:top w:val="single" w:sz="8" w:space="0" w:color="auto"/>
              <w:left w:val="single" w:sz="8" w:space="0" w:color="auto"/>
              <w:bottom w:val="single" w:sz="8" w:space="0" w:color="auto"/>
              <w:right w:val="nil"/>
            </w:tcBorders>
            <w:shd w:val="clear" w:color="auto" w:fill="auto"/>
            <w:noWrap/>
            <w:vAlign w:val="bottom"/>
            <w:hideMark/>
          </w:tcPr>
          <w:p w:rsidR="00742E30" w:rsidRDefault="00742E30">
            <w:pPr>
              <w:rPr>
                <w:rFonts w:ascii="Arial CE" w:hAnsi="Arial CE" w:cs="Arial CE"/>
                <w:b/>
                <w:bCs/>
                <w:sz w:val="20"/>
                <w:szCs w:val="20"/>
              </w:rPr>
            </w:pPr>
            <w:r>
              <w:rPr>
                <w:rFonts w:ascii="Arial CE" w:hAnsi="Arial CE" w:cs="Arial CE"/>
                <w:b/>
                <w:bCs/>
                <w:sz w:val="20"/>
                <w:szCs w:val="20"/>
              </w:rPr>
              <w:t>Celkem</w:t>
            </w:r>
          </w:p>
        </w:tc>
        <w:tc>
          <w:tcPr>
            <w:tcW w:w="136" w:type="dxa"/>
            <w:tcBorders>
              <w:top w:val="single" w:sz="8" w:space="0" w:color="auto"/>
              <w:left w:val="nil"/>
              <w:bottom w:val="single" w:sz="8" w:space="0" w:color="auto"/>
              <w:right w:val="nil"/>
            </w:tcBorders>
            <w:shd w:val="clear" w:color="auto" w:fill="auto"/>
            <w:noWrap/>
            <w:vAlign w:val="bottom"/>
            <w:hideMark/>
          </w:tcPr>
          <w:p w:rsidR="00742E30" w:rsidRDefault="00742E30">
            <w:pPr>
              <w:rPr>
                <w:rFonts w:ascii="Arial CE" w:hAnsi="Arial CE" w:cs="Arial CE"/>
                <w:b/>
                <w:bCs/>
                <w:sz w:val="20"/>
                <w:szCs w:val="20"/>
              </w:rPr>
            </w:pPr>
            <w:r>
              <w:rPr>
                <w:rFonts w:ascii="Arial CE" w:hAnsi="Arial CE" w:cs="Arial CE"/>
                <w:b/>
                <w:bCs/>
                <w:sz w:val="20"/>
                <w:szCs w:val="20"/>
              </w:rPr>
              <w:t> </w:t>
            </w:r>
          </w:p>
        </w:tc>
        <w:tc>
          <w:tcPr>
            <w:tcW w:w="1196" w:type="dxa"/>
            <w:tcBorders>
              <w:top w:val="single" w:sz="8" w:space="0" w:color="auto"/>
              <w:left w:val="nil"/>
              <w:bottom w:val="single" w:sz="8" w:space="0" w:color="auto"/>
              <w:right w:val="nil"/>
            </w:tcBorders>
            <w:shd w:val="clear" w:color="auto" w:fill="auto"/>
            <w:noWrap/>
            <w:vAlign w:val="bottom"/>
            <w:hideMark/>
          </w:tcPr>
          <w:p w:rsidR="00742E30" w:rsidRDefault="00742E30">
            <w:pPr>
              <w:rPr>
                <w:rFonts w:ascii="Arial CE" w:hAnsi="Arial CE" w:cs="Arial CE"/>
                <w:b/>
                <w:bCs/>
                <w:sz w:val="20"/>
                <w:szCs w:val="20"/>
              </w:rPr>
            </w:pPr>
            <w:r>
              <w:rPr>
                <w:rFonts w:ascii="Arial CE" w:hAnsi="Arial CE" w:cs="Arial CE"/>
                <w:b/>
                <w:bCs/>
                <w:sz w:val="20"/>
                <w:szCs w:val="20"/>
              </w:rPr>
              <w:t> </w:t>
            </w:r>
          </w:p>
        </w:tc>
        <w:tc>
          <w:tcPr>
            <w:tcW w:w="166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42E30" w:rsidRDefault="00BF7826">
            <w:pPr>
              <w:jc w:val="right"/>
              <w:rPr>
                <w:rFonts w:ascii="Arial CE" w:hAnsi="Arial CE" w:cs="Arial CE"/>
                <w:b/>
                <w:bCs/>
                <w:sz w:val="20"/>
                <w:szCs w:val="20"/>
              </w:rPr>
            </w:pPr>
            <w:r>
              <w:rPr>
                <w:rFonts w:ascii="Arial CE" w:hAnsi="Arial CE" w:cs="Arial CE"/>
                <w:b/>
                <w:bCs/>
                <w:sz w:val="20"/>
                <w:szCs w:val="20"/>
              </w:rPr>
              <w:t>72 440</w:t>
            </w:r>
          </w:p>
        </w:tc>
        <w:tc>
          <w:tcPr>
            <w:tcW w:w="2328" w:type="dxa"/>
            <w:tcBorders>
              <w:top w:val="single" w:sz="8" w:space="0" w:color="auto"/>
              <w:left w:val="nil"/>
              <w:bottom w:val="single" w:sz="8" w:space="0" w:color="auto"/>
              <w:right w:val="single" w:sz="8" w:space="0" w:color="auto"/>
            </w:tcBorders>
            <w:shd w:val="clear" w:color="auto" w:fill="auto"/>
            <w:noWrap/>
            <w:vAlign w:val="bottom"/>
            <w:hideMark/>
          </w:tcPr>
          <w:p w:rsidR="00742E30" w:rsidRDefault="00742E30">
            <w:pPr>
              <w:rPr>
                <w:rFonts w:ascii="Arial CE" w:hAnsi="Arial CE" w:cs="Arial CE"/>
                <w:sz w:val="16"/>
                <w:szCs w:val="16"/>
              </w:rPr>
            </w:pPr>
            <w:r>
              <w:rPr>
                <w:rFonts w:ascii="Arial CE" w:hAnsi="Arial CE" w:cs="Arial CE"/>
                <w:sz w:val="16"/>
                <w:szCs w:val="16"/>
              </w:rPr>
              <w:t> </w:t>
            </w:r>
          </w:p>
        </w:tc>
      </w:tr>
      <w:tr w:rsidR="00742E30" w:rsidTr="00742E30">
        <w:trPr>
          <w:trHeight w:val="225"/>
        </w:trPr>
        <w:tc>
          <w:tcPr>
            <w:tcW w:w="4111" w:type="dxa"/>
            <w:tcBorders>
              <w:top w:val="nil"/>
              <w:left w:val="nil"/>
              <w:bottom w:val="nil"/>
              <w:right w:val="nil"/>
            </w:tcBorders>
            <w:shd w:val="clear" w:color="auto" w:fill="auto"/>
            <w:noWrap/>
            <w:vAlign w:val="bottom"/>
            <w:hideMark/>
          </w:tcPr>
          <w:p w:rsidR="00742E30" w:rsidRDefault="00742E30">
            <w:pPr>
              <w:rPr>
                <w:rFonts w:ascii="Arial" w:hAnsi="Arial" w:cs="Arial"/>
                <w:sz w:val="20"/>
                <w:szCs w:val="20"/>
              </w:rPr>
            </w:pPr>
          </w:p>
        </w:tc>
        <w:tc>
          <w:tcPr>
            <w:tcW w:w="136" w:type="dxa"/>
            <w:tcBorders>
              <w:top w:val="nil"/>
              <w:left w:val="nil"/>
              <w:bottom w:val="nil"/>
              <w:right w:val="nil"/>
            </w:tcBorders>
            <w:shd w:val="clear" w:color="auto" w:fill="auto"/>
            <w:noWrap/>
            <w:vAlign w:val="bottom"/>
            <w:hideMark/>
          </w:tcPr>
          <w:p w:rsidR="00742E30" w:rsidRDefault="00742E30">
            <w:pPr>
              <w:rPr>
                <w:rFonts w:ascii="Arial" w:hAnsi="Arial" w:cs="Arial"/>
                <w:sz w:val="20"/>
                <w:szCs w:val="20"/>
              </w:rPr>
            </w:pPr>
          </w:p>
        </w:tc>
        <w:tc>
          <w:tcPr>
            <w:tcW w:w="1196" w:type="dxa"/>
            <w:tcBorders>
              <w:top w:val="nil"/>
              <w:left w:val="nil"/>
              <w:bottom w:val="nil"/>
              <w:right w:val="nil"/>
            </w:tcBorders>
            <w:shd w:val="clear" w:color="auto" w:fill="auto"/>
            <w:noWrap/>
            <w:vAlign w:val="bottom"/>
            <w:hideMark/>
          </w:tcPr>
          <w:p w:rsidR="00742E30" w:rsidRDefault="00742E30">
            <w:pPr>
              <w:rPr>
                <w:rFonts w:ascii="Arial" w:hAnsi="Arial" w:cs="Arial"/>
                <w:sz w:val="20"/>
                <w:szCs w:val="20"/>
              </w:rPr>
            </w:pPr>
          </w:p>
        </w:tc>
        <w:tc>
          <w:tcPr>
            <w:tcW w:w="1665" w:type="dxa"/>
            <w:tcBorders>
              <w:top w:val="nil"/>
              <w:left w:val="nil"/>
              <w:bottom w:val="nil"/>
              <w:right w:val="nil"/>
            </w:tcBorders>
            <w:shd w:val="clear" w:color="auto" w:fill="auto"/>
            <w:noWrap/>
            <w:vAlign w:val="bottom"/>
            <w:hideMark/>
          </w:tcPr>
          <w:p w:rsidR="00742E30" w:rsidRDefault="00742E30">
            <w:pPr>
              <w:jc w:val="right"/>
              <w:rPr>
                <w:rFonts w:ascii="Arial" w:hAnsi="Arial" w:cs="Arial"/>
                <w:sz w:val="20"/>
                <w:szCs w:val="20"/>
              </w:rPr>
            </w:pPr>
            <w:r>
              <w:rPr>
                <w:rFonts w:ascii="Arial" w:hAnsi="Arial" w:cs="Arial"/>
                <w:sz w:val="20"/>
                <w:szCs w:val="20"/>
              </w:rPr>
              <w:t>0</w:t>
            </w:r>
          </w:p>
        </w:tc>
        <w:tc>
          <w:tcPr>
            <w:tcW w:w="2328" w:type="dxa"/>
            <w:tcBorders>
              <w:top w:val="nil"/>
              <w:left w:val="nil"/>
              <w:bottom w:val="nil"/>
              <w:right w:val="nil"/>
            </w:tcBorders>
            <w:shd w:val="clear" w:color="auto" w:fill="auto"/>
            <w:noWrap/>
            <w:vAlign w:val="bottom"/>
            <w:hideMark/>
          </w:tcPr>
          <w:p w:rsidR="00742E30" w:rsidRDefault="00742E30">
            <w:pPr>
              <w:rPr>
                <w:rFonts w:ascii="Arial" w:hAnsi="Arial" w:cs="Arial"/>
                <w:sz w:val="16"/>
                <w:szCs w:val="16"/>
              </w:rPr>
            </w:pPr>
          </w:p>
        </w:tc>
      </w:tr>
    </w:tbl>
    <w:p w:rsidR="00B51BA4" w:rsidRDefault="00B51BA4" w:rsidP="00742E30">
      <w:pPr>
        <w:jc w:val="both"/>
        <w:rPr>
          <w:i/>
          <w:sz w:val="20"/>
          <w:szCs w:val="20"/>
        </w:rPr>
      </w:pPr>
    </w:p>
    <w:p w:rsidR="00B51BA4" w:rsidRDefault="00B51BA4" w:rsidP="00ED41BA">
      <w:pPr>
        <w:ind w:left="170" w:firstLine="311"/>
        <w:jc w:val="both"/>
        <w:rPr>
          <w:i/>
          <w:sz w:val="20"/>
          <w:szCs w:val="20"/>
        </w:rPr>
      </w:pPr>
    </w:p>
    <w:tbl>
      <w:tblPr>
        <w:tblW w:w="9121" w:type="dxa"/>
        <w:tblInd w:w="55" w:type="dxa"/>
        <w:tblCellMar>
          <w:left w:w="70" w:type="dxa"/>
          <w:right w:w="70" w:type="dxa"/>
        </w:tblCellMar>
        <w:tblLook w:val="04A0" w:firstRow="1" w:lastRow="0" w:firstColumn="1" w:lastColumn="0" w:noHBand="0" w:noVBand="1"/>
      </w:tblPr>
      <w:tblGrid>
        <w:gridCol w:w="4009"/>
        <w:gridCol w:w="146"/>
        <w:gridCol w:w="1135"/>
        <w:gridCol w:w="1576"/>
        <w:gridCol w:w="2255"/>
      </w:tblGrid>
      <w:tr w:rsidR="00B51BA4" w:rsidTr="00742E30">
        <w:trPr>
          <w:trHeight w:val="225"/>
        </w:trPr>
        <w:tc>
          <w:tcPr>
            <w:tcW w:w="4009" w:type="dxa"/>
            <w:tcBorders>
              <w:top w:val="nil"/>
              <w:left w:val="nil"/>
              <w:bottom w:val="nil"/>
              <w:right w:val="nil"/>
            </w:tcBorders>
            <w:shd w:val="clear" w:color="auto" w:fill="auto"/>
            <w:noWrap/>
            <w:vAlign w:val="bottom"/>
          </w:tcPr>
          <w:p w:rsidR="00B51BA4" w:rsidRDefault="00B51BA4">
            <w:pPr>
              <w:rPr>
                <w:rFonts w:ascii="Arial" w:hAnsi="Arial" w:cs="Arial"/>
                <w:sz w:val="20"/>
                <w:szCs w:val="20"/>
              </w:rPr>
            </w:pPr>
          </w:p>
        </w:tc>
        <w:tc>
          <w:tcPr>
            <w:tcW w:w="146" w:type="dxa"/>
            <w:tcBorders>
              <w:top w:val="nil"/>
              <w:left w:val="nil"/>
              <w:bottom w:val="nil"/>
              <w:right w:val="nil"/>
            </w:tcBorders>
            <w:shd w:val="clear" w:color="auto" w:fill="auto"/>
            <w:noWrap/>
            <w:vAlign w:val="bottom"/>
          </w:tcPr>
          <w:p w:rsidR="00B51BA4" w:rsidRDefault="00B51BA4">
            <w:pPr>
              <w:rPr>
                <w:rFonts w:ascii="Arial" w:hAnsi="Arial" w:cs="Arial"/>
                <w:sz w:val="20"/>
                <w:szCs w:val="20"/>
              </w:rPr>
            </w:pPr>
          </w:p>
        </w:tc>
        <w:tc>
          <w:tcPr>
            <w:tcW w:w="1135" w:type="dxa"/>
            <w:tcBorders>
              <w:top w:val="nil"/>
              <w:left w:val="nil"/>
              <w:bottom w:val="nil"/>
              <w:right w:val="nil"/>
            </w:tcBorders>
            <w:shd w:val="clear" w:color="auto" w:fill="auto"/>
            <w:noWrap/>
            <w:vAlign w:val="bottom"/>
          </w:tcPr>
          <w:p w:rsidR="00B51BA4" w:rsidRDefault="00B51BA4">
            <w:pPr>
              <w:rPr>
                <w:rFonts w:ascii="Arial" w:hAnsi="Arial" w:cs="Arial"/>
                <w:sz w:val="20"/>
                <w:szCs w:val="20"/>
              </w:rPr>
            </w:pPr>
          </w:p>
        </w:tc>
        <w:tc>
          <w:tcPr>
            <w:tcW w:w="1576" w:type="dxa"/>
            <w:tcBorders>
              <w:top w:val="nil"/>
              <w:left w:val="nil"/>
              <w:bottom w:val="nil"/>
              <w:right w:val="nil"/>
            </w:tcBorders>
            <w:shd w:val="clear" w:color="auto" w:fill="auto"/>
            <w:noWrap/>
            <w:vAlign w:val="bottom"/>
          </w:tcPr>
          <w:p w:rsidR="00B51BA4" w:rsidRDefault="00B51BA4">
            <w:pPr>
              <w:jc w:val="right"/>
              <w:rPr>
                <w:rFonts w:ascii="Arial" w:hAnsi="Arial" w:cs="Arial"/>
                <w:sz w:val="20"/>
                <w:szCs w:val="20"/>
              </w:rPr>
            </w:pPr>
          </w:p>
        </w:tc>
        <w:tc>
          <w:tcPr>
            <w:tcW w:w="2255" w:type="dxa"/>
            <w:tcBorders>
              <w:top w:val="nil"/>
              <w:left w:val="nil"/>
              <w:bottom w:val="nil"/>
              <w:right w:val="nil"/>
            </w:tcBorders>
            <w:shd w:val="clear" w:color="auto" w:fill="auto"/>
            <w:noWrap/>
            <w:vAlign w:val="bottom"/>
          </w:tcPr>
          <w:p w:rsidR="00B51BA4" w:rsidRDefault="00B51BA4">
            <w:pPr>
              <w:rPr>
                <w:rFonts w:ascii="Arial" w:hAnsi="Arial" w:cs="Arial"/>
                <w:sz w:val="16"/>
                <w:szCs w:val="16"/>
              </w:rPr>
            </w:pPr>
          </w:p>
        </w:tc>
      </w:tr>
      <w:tr w:rsidR="00B51BA4" w:rsidTr="00742E30">
        <w:trPr>
          <w:trHeight w:val="315"/>
        </w:trPr>
        <w:tc>
          <w:tcPr>
            <w:tcW w:w="4155" w:type="dxa"/>
            <w:gridSpan w:val="2"/>
            <w:tcBorders>
              <w:top w:val="nil"/>
              <w:left w:val="nil"/>
              <w:bottom w:val="nil"/>
              <w:right w:val="nil"/>
            </w:tcBorders>
            <w:shd w:val="clear" w:color="000000" w:fill="FFFF99"/>
            <w:noWrap/>
            <w:vAlign w:val="bottom"/>
            <w:hideMark/>
          </w:tcPr>
          <w:p w:rsidR="00B51BA4" w:rsidRDefault="00B51BA4">
            <w:pPr>
              <w:rPr>
                <w:rFonts w:ascii="Arial CE" w:hAnsi="Arial CE" w:cs="Arial CE"/>
                <w:b/>
                <w:bCs/>
              </w:rPr>
            </w:pPr>
            <w:r>
              <w:rPr>
                <w:rFonts w:ascii="Arial CE" w:hAnsi="Arial CE" w:cs="Arial CE"/>
                <w:b/>
                <w:bCs/>
              </w:rPr>
              <w:t>3) Údaje o bankovních úvěrech</w:t>
            </w:r>
          </w:p>
        </w:tc>
        <w:tc>
          <w:tcPr>
            <w:tcW w:w="1135" w:type="dxa"/>
            <w:tcBorders>
              <w:top w:val="nil"/>
              <w:left w:val="nil"/>
              <w:bottom w:val="nil"/>
              <w:right w:val="nil"/>
            </w:tcBorders>
            <w:shd w:val="clear" w:color="000000" w:fill="FFFF99"/>
            <w:noWrap/>
            <w:vAlign w:val="bottom"/>
            <w:hideMark/>
          </w:tcPr>
          <w:p w:rsidR="00B51BA4" w:rsidRDefault="00B51BA4">
            <w:pPr>
              <w:rPr>
                <w:rFonts w:ascii="Arial CE" w:hAnsi="Arial CE" w:cs="Arial CE"/>
                <w:b/>
                <w:bCs/>
                <w:sz w:val="20"/>
                <w:szCs w:val="20"/>
              </w:rPr>
            </w:pPr>
            <w:r>
              <w:rPr>
                <w:rFonts w:ascii="Arial CE" w:hAnsi="Arial CE" w:cs="Arial CE"/>
                <w:b/>
                <w:bCs/>
                <w:sz w:val="20"/>
                <w:szCs w:val="20"/>
              </w:rPr>
              <w:t> </w:t>
            </w:r>
          </w:p>
        </w:tc>
        <w:tc>
          <w:tcPr>
            <w:tcW w:w="1576" w:type="dxa"/>
            <w:tcBorders>
              <w:top w:val="nil"/>
              <w:left w:val="nil"/>
              <w:bottom w:val="nil"/>
              <w:right w:val="nil"/>
            </w:tcBorders>
            <w:shd w:val="clear" w:color="000000" w:fill="FFFF99"/>
            <w:noWrap/>
            <w:vAlign w:val="bottom"/>
            <w:hideMark/>
          </w:tcPr>
          <w:p w:rsidR="00B51BA4" w:rsidRDefault="00B51BA4">
            <w:pPr>
              <w:rPr>
                <w:rFonts w:ascii="Arial CE" w:hAnsi="Arial CE" w:cs="Arial CE"/>
                <w:b/>
                <w:bCs/>
                <w:sz w:val="20"/>
                <w:szCs w:val="20"/>
              </w:rPr>
            </w:pPr>
            <w:r>
              <w:rPr>
                <w:rFonts w:ascii="Arial CE" w:hAnsi="Arial CE" w:cs="Arial CE"/>
                <w:b/>
                <w:bCs/>
                <w:sz w:val="20"/>
                <w:szCs w:val="20"/>
              </w:rPr>
              <w:t> </w:t>
            </w:r>
          </w:p>
        </w:tc>
        <w:tc>
          <w:tcPr>
            <w:tcW w:w="2255" w:type="dxa"/>
            <w:tcBorders>
              <w:top w:val="nil"/>
              <w:left w:val="nil"/>
              <w:bottom w:val="nil"/>
              <w:right w:val="nil"/>
            </w:tcBorders>
            <w:shd w:val="clear" w:color="000000" w:fill="FFFF99"/>
            <w:noWrap/>
            <w:vAlign w:val="bottom"/>
            <w:hideMark/>
          </w:tcPr>
          <w:p w:rsidR="00B51BA4" w:rsidRDefault="00B51BA4">
            <w:pPr>
              <w:rPr>
                <w:rFonts w:ascii="Arial" w:hAnsi="Arial" w:cs="Arial"/>
                <w:sz w:val="20"/>
                <w:szCs w:val="20"/>
              </w:rPr>
            </w:pPr>
            <w:r>
              <w:rPr>
                <w:rFonts w:ascii="Arial" w:hAnsi="Arial" w:cs="Arial"/>
                <w:sz w:val="20"/>
                <w:szCs w:val="20"/>
              </w:rPr>
              <w:t> </w:t>
            </w:r>
          </w:p>
        </w:tc>
      </w:tr>
      <w:tr w:rsidR="00B51BA4" w:rsidTr="00742E30">
        <w:trPr>
          <w:trHeight w:val="405"/>
        </w:trPr>
        <w:tc>
          <w:tcPr>
            <w:tcW w:w="9121" w:type="dxa"/>
            <w:gridSpan w:val="5"/>
            <w:tcBorders>
              <w:top w:val="nil"/>
              <w:left w:val="nil"/>
              <w:bottom w:val="nil"/>
              <w:right w:val="nil"/>
            </w:tcBorders>
            <w:shd w:val="clear" w:color="auto" w:fill="auto"/>
            <w:noWrap/>
            <w:vAlign w:val="bottom"/>
            <w:hideMark/>
          </w:tcPr>
          <w:p w:rsidR="00B51BA4" w:rsidRDefault="00B51BA4">
            <w:pPr>
              <w:rPr>
                <w:rFonts w:ascii="Arial" w:hAnsi="Arial" w:cs="Arial"/>
                <w:sz w:val="20"/>
                <w:szCs w:val="20"/>
              </w:rPr>
            </w:pPr>
            <w:r>
              <w:rPr>
                <w:rFonts w:ascii="Arial" w:hAnsi="Arial" w:cs="Arial"/>
                <w:sz w:val="20"/>
                <w:szCs w:val="20"/>
              </w:rPr>
              <w:t xml:space="preserve">Město Jilemnice nemá ke dni </w:t>
            </w:r>
            <w:proofErr w:type="gramStart"/>
            <w:r>
              <w:rPr>
                <w:rFonts w:ascii="Arial" w:hAnsi="Arial" w:cs="Arial"/>
                <w:sz w:val="20"/>
                <w:szCs w:val="20"/>
              </w:rPr>
              <w:t>1.1.2018</w:t>
            </w:r>
            <w:proofErr w:type="gramEnd"/>
            <w:r>
              <w:rPr>
                <w:rFonts w:ascii="Arial" w:hAnsi="Arial" w:cs="Arial"/>
                <w:sz w:val="20"/>
                <w:szCs w:val="20"/>
              </w:rPr>
              <w:t xml:space="preserve"> dlouhodobý ani krátkodobý  úvěr</w:t>
            </w:r>
          </w:p>
        </w:tc>
      </w:tr>
    </w:tbl>
    <w:p w:rsidR="00B51BA4" w:rsidRDefault="00B51BA4" w:rsidP="00ED41BA">
      <w:pPr>
        <w:ind w:left="170" w:firstLine="311"/>
        <w:jc w:val="both"/>
        <w:rPr>
          <w:i/>
          <w:sz w:val="20"/>
          <w:szCs w:val="20"/>
        </w:rPr>
      </w:pPr>
    </w:p>
    <w:p w:rsidR="00B51BA4" w:rsidRDefault="00B51BA4" w:rsidP="00ED41BA">
      <w:pPr>
        <w:ind w:left="170" w:firstLine="311"/>
        <w:jc w:val="both"/>
        <w:rPr>
          <w:i/>
          <w:sz w:val="20"/>
          <w:szCs w:val="20"/>
        </w:rPr>
      </w:pPr>
    </w:p>
    <w:p w:rsidR="00B51BA4" w:rsidRDefault="00B51BA4" w:rsidP="00ED41BA">
      <w:pPr>
        <w:ind w:left="170" w:firstLine="311"/>
        <w:jc w:val="both"/>
        <w:rPr>
          <w:i/>
          <w:sz w:val="20"/>
          <w:szCs w:val="20"/>
        </w:rPr>
      </w:pPr>
    </w:p>
    <w:p w:rsidR="00B51BA4" w:rsidRDefault="00B51BA4" w:rsidP="00ED41BA">
      <w:pPr>
        <w:ind w:left="170" w:firstLine="311"/>
        <w:jc w:val="both"/>
        <w:rPr>
          <w:i/>
          <w:sz w:val="20"/>
          <w:szCs w:val="20"/>
        </w:rPr>
      </w:pPr>
    </w:p>
    <w:p w:rsidR="00B51BA4" w:rsidRDefault="00B51BA4" w:rsidP="00ED41BA">
      <w:pPr>
        <w:ind w:left="170" w:firstLine="311"/>
        <w:jc w:val="both"/>
        <w:rPr>
          <w:i/>
          <w:sz w:val="20"/>
          <w:szCs w:val="20"/>
        </w:rPr>
      </w:pPr>
    </w:p>
    <w:p w:rsidR="00B51BA4" w:rsidRDefault="00B51BA4" w:rsidP="00ED41BA">
      <w:pPr>
        <w:ind w:left="170" w:firstLine="311"/>
        <w:jc w:val="both"/>
        <w:rPr>
          <w:i/>
          <w:sz w:val="20"/>
          <w:szCs w:val="20"/>
        </w:rPr>
      </w:pPr>
    </w:p>
    <w:p w:rsidR="00B51BA4" w:rsidRDefault="00B51BA4" w:rsidP="00ED41BA">
      <w:pPr>
        <w:ind w:left="170" w:firstLine="311"/>
        <w:jc w:val="both"/>
        <w:rPr>
          <w:i/>
          <w:sz w:val="20"/>
          <w:szCs w:val="20"/>
        </w:rPr>
      </w:pPr>
    </w:p>
    <w:p w:rsidR="00B51BA4" w:rsidRDefault="00B51BA4" w:rsidP="00ED41BA">
      <w:pPr>
        <w:ind w:left="170" w:firstLine="311"/>
        <w:jc w:val="both"/>
        <w:rPr>
          <w:i/>
          <w:sz w:val="20"/>
          <w:szCs w:val="20"/>
        </w:rPr>
      </w:pPr>
    </w:p>
    <w:p w:rsidR="00B51BA4" w:rsidRDefault="00B51BA4" w:rsidP="00ED41BA">
      <w:pPr>
        <w:ind w:left="170" w:firstLine="311"/>
        <w:jc w:val="both"/>
        <w:rPr>
          <w:i/>
          <w:sz w:val="20"/>
          <w:szCs w:val="20"/>
        </w:rPr>
      </w:pPr>
    </w:p>
    <w:p w:rsidR="00B51BA4" w:rsidRDefault="00B51BA4" w:rsidP="00ED41BA">
      <w:pPr>
        <w:ind w:left="170" w:firstLine="311"/>
        <w:jc w:val="both"/>
        <w:rPr>
          <w:i/>
          <w:sz w:val="20"/>
          <w:szCs w:val="20"/>
        </w:rPr>
      </w:pPr>
    </w:p>
    <w:p w:rsidR="00B51BA4" w:rsidRDefault="00B51BA4" w:rsidP="00ED41BA">
      <w:pPr>
        <w:ind w:left="170" w:firstLine="311"/>
        <w:jc w:val="both"/>
        <w:rPr>
          <w:i/>
          <w:sz w:val="20"/>
          <w:szCs w:val="20"/>
        </w:rPr>
      </w:pPr>
    </w:p>
    <w:p w:rsidR="00B51BA4" w:rsidRDefault="00B51BA4" w:rsidP="00ED41BA">
      <w:pPr>
        <w:ind w:left="170" w:firstLine="311"/>
        <w:jc w:val="both"/>
        <w:rPr>
          <w:i/>
          <w:sz w:val="20"/>
          <w:szCs w:val="20"/>
        </w:rPr>
      </w:pPr>
    </w:p>
    <w:p w:rsidR="00B51BA4" w:rsidRDefault="00B51BA4" w:rsidP="00ED41BA">
      <w:pPr>
        <w:ind w:left="170" w:firstLine="311"/>
        <w:jc w:val="both"/>
        <w:rPr>
          <w:i/>
          <w:sz w:val="20"/>
          <w:szCs w:val="20"/>
        </w:rPr>
      </w:pPr>
    </w:p>
    <w:p w:rsidR="00B51BA4" w:rsidRDefault="00B51BA4" w:rsidP="00ED41BA">
      <w:pPr>
        <w:ind w:left="170" w:firstLine="311"/>
        <w:jc w:val="both"/>
        <w:rPr>
          <w:i/>
          <w:sz w:val="20"/>
          <w:szCs w:val="20"/>
        </w:rPr>
      </w:pPr>
    </w:p>
    <w:p w:rsidR="00B51BA4" w:rsidRDefault="00B51BA4" w:rsidP="00ED41BA">
      <w:pPr>
        <w:ind w:left="170" w:firstLine="311"/>
        <w:jc w:val="both"/>
        <w:rPr>
          <w:i/>
          <w:sz w:val="20"/>
          <w:szCs w:val="20"/>
        </w:rPr>
      </w:pPr>
    </w:p>
    <w:p w:rsidR="00B51BA4" w:rsidRDefault="00B51BA4" w:rsidP="00ED41BA">
      <w:pPr>
        <w:ind w:left="170" w:firstLine="311"/>
        <w:jc w:val="both"/>
        <w:rPr>
          <w:i/>
          <w:sz w:val="20"/>
          <w:szCs w:val="20"/>
        </w:rPr>
      </w:pPr>
    </w:p>
    <w:p w:rsidR="00B51BA4" w:rsidRDefault="00B51BA4" w:rsidP="00ED41BA">
      <w:pPr>
        <w:ind w:left="170" w:firstLine="311"/>
        <w:jc w:val="both"/>
        <w:rPr>
          <w:i/>
          <w:sz w:val="20"/>
          <w:szCs w:val="20"/>
        </w:rPr>
      </w:pPr>
    </w:p>
    <w:p w:rsidR="00FD24F5" w:rsidRDefault="00FD24F5" w:rsidP="00ED41BA">
      <w:pPr>
        <w:ind w:left="170" w:firstLine="311"/>
        <w:jc w:val="both"/>
        <w:rPr>
          <w:i/>
          <w:sz w:val="20"/>
          <w:szCs w:val="20"/>
        </w:rPr>
      </w:pPr>
    </w:p>
    <w:p w:rsidR="00B51BA4" w:rsidRDefault="00B51BA4" w:rsidP="00742E30">
      <w:pPr>
        <w:jc w:val="both"/>
        <w:rPr>
          <w:i/>
          <w:sz w:val="20"/>
          <w:szCs w:val="20"/>
        </w:rPr>
      </w:pPr>
    </w:p>
    <w:tbl>
      <w:tblPr>
        <w:tblW w:w="11796" w:type="dxa"/>
        <w:tblInd w:w="70" w:type="dxa"/>
        <w:tblCellMar>
          <w:left w:w="70" w:type="dxa"/>
          <w:right w:w="70" w:type="dxa"/>
        </w:tblCellMar>
        <w:tblLook w:val="04A0" w:firstRow="1" w:lastRow="0" w:firstColumn="1" w:lastColumn="0" w:noHBand="0" w:noVBand="1"/>
      </w:tblPr>
      <w:tblGrid>
        <w:gridCol w:w="1620"/>
        <w:gridCol w:w="124"/>
        <w:gridCol w:w="512"/>
        <w:gridCol w:w="20"/>
        <w:gridCol w:w="532"/>
        <w:gridCol w:w="84"/>
        <w:gridCol w:w="448"/>
        <w:gridCol w:w="188"/>
        <w:gridCol w:w="344"/>
        <w:gridCol w:w="292"/>
        <w:gridCol w:w="240"/>
        <w:gridCol w:w="396"/>
        <w:gridCol w:w="136"/>
        <w:gridCol w:w="500"/>
        <w:gridCol w:w="32"/>
        <w:gridCol w:w="532"/>
        <w:gridCol w:w="72"/>
        <w:gridCol w:w="460"/>
        <w:gridCol w:w="176"/>
        <w:gridCol w:w="356"/>
        <w:gridCol w:w="280"/>
        <w:gridCol w:w="252"/>
        <w:gridCol w:w="384"/>
        <w:gridCol w:w="148"/>
        <w:gridCol w:w="488"/>
        <w:gridCol w:w="44"/>
        <w:gridCol w:w="532"/>
        <w:gridCol w:w="60"/>
        <w:gridCol w:w="472"/>
        <w:gridCol w:w="164"/>
        <w:gridCol w:w="491"/>
        <w:gridCol w:w="145"/>
        <w:gridCol w:w="491"/>
        <w:gridCol w:w="145"/>
        <w:gridCol w:w="491"/>
        <w:gridCol w:w="145"/>
      </w:tblGrid>
      <w:tr w:rsidR="00B51BA4" w:rsidTr="00742E30">
        <w:trPr>
          <w:gridAfter w:val="1"/>
          <w:wAfter w:w="145" w:type="dxa"/>
          <w:trHeight w:val="360"/>
        </w:trPr>
        <w:tc>
          <w:tcPr>
            <w:tcW w:w="9724" w:type="dxa"/>
            <w:gridSpan w:val="29"/>
            <w:tcBorders>
              <w:top w:val="nil"/>
              <w:left w:val="nil"/>
              <w:bottom w:val="nil"/>
              <w:right w:val="nil"/>
            </w:tcBorders>
            <w:shd w:val="clear" w:color="auto" w:fill="auto"/>
            <w:noWrap/>
            <w:vAlign w:val="bottom"/>
            <w:hideMark/>
          </w:tcPr>
          <w:p w:rsidR="00B51BA4" w:rsidRDefault="008A56CA">
            <w:pPr>
              <w:rPr>
                <w:rFonts w:ascii="Arial CE" w:hAnsi="Arial CE" w:cs="Arial CE"/>
                <w:b/>
                <w:bCs/>
                <w:sz w:val="28"/>
                <w:szCs w:val="28"/>
              </w:rPr>
            </w:pPr>
            <w:r>
              <w:rPr>
                <w:rFonts w:ascii="Arial CE" w:hAnsi="Arial CE" w:cs="Arial CE"/>
                <w:b/>
                <w:bCs/>
              </w:rPr>
              <w:lastRenderedPageBreak/>
              <w:t xml:space="preserve">4) </w:t>
            </w:r>
            <w:r w:rsidR="00B51BA4" w:rsidRPr="008A56CA">
              <w:rPr>
                <w:rFonts w:ascii="Arial CE" w:hAnsi="Arial CE" w:cs="Arial CE"/>
                <w:b/>
                <w:bCs/>
              </w:rPr>
              <w:t>Skutečné příjmy ze sdílených a výlučných daní v letech 2003-2018</w:t>
            </w:r>
          </w:p>
        </w:tc>
        <w:tc>
          <w:tcPr>
            <w:tcW w:w="655"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r>
      <w:tr w:rsidR="00B51BA4" w:rsidTr="00742E30">
        <w:trPr>
          <w:gridAfter w:val="1"/>
          <w:wAfter w:w="145" w:type="dxa"/>
          <w:trHeight w:val="270"/>
        </w:trPr>
        <w:tc>
          <w:tcPr>
            <w:tcW w:w="1744"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gridSpan w:val="2"/>
            <w:vAlign w:val="center"/>
            <w:hideMark/>
          </w:tcPr>
          <w:p w:rsidR="00B51BA4" w:rsidRDefault="00B51BA4">
            <w:pPr>
              <w:rPr>
                <w:sz w:val="20"/>
                <w:szCs w:val="20"/>
              </w:rPr>
            </w:pPr>
          </w:p>
        </w:tc>
        <w:tc>
          <w:tcPr>
            <w:tcW w:w="636" w:type="dxa"/>
            <w:gridSpan w:val="2"/>
            <w:vAlign w:val="center"/>
            <w:hideMark/>
          </w:tcPr>
          <w:p w:rsidR="00B51BA4" w:rsidRDefault="00B51BA4">
            <w:pPr>
              <w:rPr>
                <w:sz w:val="20"/>
                <w:szCs w:val="20"/>
              </w:rPr>
            </w:pPr>
          </w:p>
        </w:tc>
      </w:tr>
      <w:tr w:rsidR="00B51BA4" w:rsidTr="00742E30">
        <w:trPr>
          <w:gridAfter w:val="1"/>
          <w:wAfter w:w="145" w:type="dxa"/>
          <w:trHeight w:val="270"/>
        </w:trPr>
        <w:tc>
          <w:tcPr>
            <w:tcW w:w="1744"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51BA4" w:rsidRDefault="00B51BA4">
            <w:pPr>
              <w:jc w:val="center"/>
              <w:rPr>
                <w:rFonts w:ascii="Arial CE" w:hAnsi="Arial CE" w:cs="Arial CE"/>
                <w:b/>
                <w:bCs/>
                <w:sz w:val="20"/>
                <w:szCs w:val="20"/>
              </w:rPr>
            </w:pPr>
            <w:r>
              <w:rPr>
                <w:rFonts w:ascii="Arial CE" w:hAnsi="Arial CE" w:cs="Arial CE"/>
                <w:b/>
                <w:bCs/>
                <w:sz w:val="20"/>
                <w:szCs w:val="20"/>
              </w:rPr>
              <w:t>druh daně</w:t>
            </w:r>
          </w:p>
        </w:tc>
        <w:tc>
          <w:tcPr>
            <w:tcW w:w="532" w:type="dxa"/>
            <w:gridSpan w:val="2"/>
            <w:tcBorders>
              <w:top w:val="single" w:sz="8" w:space="0" w:color="auto"/>
              <w:left w:val="nil"/>
              <w:bottom w:val="single" w:sz="8" w:space="0" w:color="auto"/>
              <w:right w:val="single" w:sz="4" w:space="0" w:color="auto"/>
            </w:tcBorders>
            <w:shd w:val="clear" w:color="auto" w:fill="auto"/>
            <w:noWrap/>
            <w:vAlign w:val="bottom"/>
            <w:hideMark/>
          </w:tcPr>
          <w:p w:rsidR="00B51BA4" w:rsidRPr="008A56CA" w:rsidRDefault="00B51BA4">
            <w:pPr>
              <w:jc w:val="center"/>
              <w:rPr>
                <w:rFonts w:ascii="Arial CE" w:hAnsi="Arial CE" w:cs="Arial CE"/>
                <w:b/>
                <w:bCs/>
                <w:sz w:val="16"/>
                <w:szCs w:val="16"/>
              </w:rPr>
            </w:pPr>
            <w:r w:rsidRPr="008A56CA">
              <w:rPr>
                <w:rFonts w:ascii="Arial CE" w:hAnsi="Arial CE" w:cs="Arial CE"/>
                <w:b/>
                <w:bCs/>
                <w:sz w:val="16"/>
                <w:szCs w:val="16"/>
              </w:rPr>
              <w:t>2003</w:t>
            </w:r>
          </w:p>
        </w:tc>
        <w:tc>
          <w:tcPr>
            <w:tcW w:w="532" w:type="dxa"/>
            <w:tcBorders>
              <w:top w:val="single" w:sz="8" w:space="0" w:color="auto"/>
              <w:left w:val="nil"/>
              <w:bottom w:val="single" w:sz="8" w:space="0" w:color="auto"/>
              <w:right w:val="single" w:sz="4" w:space="0" w:color="auto"/>
            </w:tcBorders>
            <w:shd w:val="clear" w:color="auto" w:fill="auto"/>
            <w:noWrap/>
            <w:vAlign w:val="bottom"/>
            <w:hideMark/>
          </w:tcPr>
          <w:p w:rsidR="00B51BA4" w:rsidRPr="008A56CA" w:rsidRDefault="00B51BA4">
            <w:pPr>
              <w:jc w:val="center"/>
              <w:rPr>
                <w:rFonts w:ascii="Arial CE" w:hAnsi="Arial CE" w:cs="Arial CE"/>
                <w:b/>
                <w:bCs/>
                <w:sz w:val="16"/>
                <w:szCs w:val="16"/>
              </w:rPr>
            </w:pPr>
            <w:r w:rsidRPr="008A56CA">
              <w:rPr>
                <w:rFonts w:ascii="Arial CE" w:hAnsi="Arial CE" w:cs="Arial CE"/>
                <w:b/>
                <w:bCs/>
                <w:sz w:val="16"/>
                <w:szCs w:val="16"/>
              </w:rPr>
              <w:t>2004</w:t>
            </w:r>
          </w:p>
        </w:tc>
        <w:tc>
          <w:tcPr>
            <w:tcW w:w="532" w:type="dxa"/>
            <w:gridSpan w:val="2"/>
            <w:tcBorders>
              <w:top w:val="single" w:sz="8" w:space="0" w:color="auto"/>
              <w:left w:val="nil"/>
              <w:bottom w:val="single" w:sz="8" w:space="0" w:color="auto"/>
              <w:right w:val="single" w:sz="4" w:space="0" w:color="auto"/>
            </w:tcBorders>
            <w:shd w:val="clear" w:color="auto" w:fill="auto"/>
            <w:noWrap/>
            <w:vAlign w:val="bottom"/>
            <w:hideMark/>
          </w:tcPr>
          <w:p w:rsidR="00B51BA4" w:rsidRPr="008A56CA" w:rsidRDefault="00B51BA4">
            <w:pPr>
              <w:jc w:val="center"/>
              <w:rPr>
                <w:rFonts w:ascii="Arial CE" w:hAnsi="Arial CE" w:cs="Arial CE"/>
                <w:b/>
                <w:bCs/>
                <w:sz w:val="16"/>
                <w:szCs w:val="16"/>
              </w:rPr>
            </w:pPr>
            <w:r w:rsidRPr="008A56CA">
              <w:rPr>
                <w:rFonts w:ascii="Arial CE" w:hAnsi="Arial CE" w:cs="Arial CE"/>
                <w:b/>
                <w:bCs/>
                <w:sz w:val="16"/>
                <w:szCs w:val="16"/>
              </w:rPr>
              <w:t>2005</w:t>
            </w:r>
          </w:p>
        </w:tc>
        <w:tc>
          <w:tcPr>
            <w:tcW w:w="532" w:type="dxa"/>
            <w:gridSpan w:val="2"/>
            <w:tcBorders>
              <w:top w:val="single" w:sz="8" w:space="0" w:color="auto"/>
              <w:left w:val="nil"/>
              <w:bottom w:val="single" w:sz="8" w:space="0" w:color="auto"/>
              <w:right w:val="single" w:sz="4" w:space="0" w:color="auto"/>
            </w:tcBorders>
            <w:shd w:val="clear" w:color="auto" w:fill="auto"/>
            <w:noWrap/>
            <w:vAlign w:val="bottom"/>
            <w:hideMark/>
          </w:tcPr>
          <w:p w:rsidR="00B51BA4" w:rsidRPr="008A56CA" w:rsidRDefault="00B51BA4">
            <w:pPr>
              <w:jc w:val="center"/>
              <w:rPr>
                <w:rFonts w:ascii="Arial CE" w:hAnsi="Arial CE" w:cs="Arial CE"/>
                <w:b/>
                <w:bCs/>
                <w:sz w:val="16"/>
                <w:szCs w:val="16"/>
              </w:rPr>
            </w:pPr>
            <w:r w:rsidRPr="008A56CA">
              <w:rPr>
                <w:rFonts w:ascii="Arial CE" w:hAnsi="Arial CE" w:cs="Arial CE"/>
                <w:b/>
                <w:bCs/>
                <w:sz w:val="16"/>
                <w:szCs w:val="16"/>
              </w:rPr>
              <w:t>2006</w:t>
            </w:r>
          </w:p>
        </w:tc>
        <w:tc>
          <w:tcPr>
            <w:tcW w:w="532" w:type="dxa"/>
            <w:gridSpan w:val="2"/>
            <w:tcBorders>
              <w:top w:val="single" w:sz="8" w:space="0" w:color="auto"/>
              <w:left w:val="nil"/>
              <w:bottom w:val="single" w:sz="8" w:space="0" w:color="auto"/>
              <w:right w:val="single" w:sz="4" w:space="0" w:color="auto"/>
            </w:tcBorders>
            <w:shd w:val="clear" w:color="auto" w:fill="auto"/>
            <w:noWrap/>
            <w:vAlign w:val="bottom"/>
            <w:hideMark/>
          </w:tcPr>
          <w:p w:rsidR="00B51BA4" w:rsidRPr="008A56CA" w:rsidRDefault="00B51BA4">
            <w:pPr>
              <w:jc w:val="center"/>
              <w:rPr>
                <w:rFonts w:ascii="Arial CE" w:hAnsi="Arial CE" w:cs="Arial CE"/>
                <w:b/>
                <w:bCs/>
                <w:sz w:val="16"/>
                <w:szCs w:val="16"/>
              </w:rPr>
            </w:pPr>
            <w:r w:rsidRPr="008A56CA">
              <w:rPr>
                <w:rFonts w:ascii="Arial CE" w:hAnsi="Arial CE" w:cs="Arial CE"/>
                <w:b/>
                <w:bCs/>
                <w:sz w:val="16"/>
                <w:szCs w:val="16"/>
              </w:rPr>
              <w:t>2007</w:t>
            </w:r>
          </w:p>
        </w:tc>
        <w:tc>
          <w:tcPr>
            <w:tcW w:w="532" w:type="dxa"/>
            <w:gridSpan w:val="2"/>
            <w:tcBorders>
              <w:top w:val="single" w:sz="8" w:space="0" w:color="auto"/>
              <w:left w:val="nil"/>
              <w:bottom w:val="single" w:sz="8" w:space="0" w:color="auto"/>
              <w:right w:val="single" w:sz="4" w:space="0" w:color="auto"/>
            </w:tcBorders>
            <w:shd w:val="clear" w:color="auto" w:fill="auto"/>
            <w:noWrap/>
            <w:vAlign w:val="bottom"/>
            <w:hideMark/>
          </w:tcPr>
          <w:p w:rsidR="00B51BA4" w:rsidRPr="008A56CA" w:rsidRDefault="00B51BA4">
            <w:pPr>
              <w:jc w:val="center"/>
              <w:rPr>
                <w:rFonts w:ascii="Arial CE" w:hAnsi="Arial CE" w:cs="Arial CE"/>
                <w:b/>
                <w:bCs/>
                <w:sz w:val="16"/>
                <w:szCs w:val="16"/>
              </w:rPr>
            </w:pPr>
            <w:r w:rsidRPr="008A56CA">
              <w:rPr>
                <w:rFonts w:ascii="Arial CE" w:hAnsi="Arial CE" w:cs="Arial CE"/>
                <w:b/>
                <w:bCs/>
                <w:sz w:val="16"/>
                <w:szCs w:val="16"/>
              </w:rPr>
              <w:t>2008</w:t>
            </w:r>
          </w:p>
        </w:tc>
        <w:tc>
          <w:tcPr>
            <w:tcW w:w="532" w:type="dxa"/>
            <w:gridSpan w:val="2"/>
            <w:tcBorders>
              <w:top w:val="single" w:sz="8" w:space="0" w:color="auto"/>
              <w:left w:val="nil"/>
              <w:bottom w:val="single" w:sz="8" w:space="0" w:color="auto"/>
              <w:right w:val="single" w:sz="4" w:space="0" w:color="auto"/>
            </w:tcBorders>
            <w:shd w:val="clear" w:color="auto" w:fill="auto"/>
            <w:noWrap/>
            <w:vAlign w:val="bottom"/>
            <w:hideMark/>
          </w:tcPr>
          <w:p w:rsidR="00B51BA4" w:rsidRPr="008A56CA" w:rsidRDefault="00B51BA4">
            <w:pPr>
              <w:jc w:val="center"/>
              <w:rPr>
                <w:rFonts w:ascii="Arial CE" w:hAnsi="Arial CE" w:cs="Arial CE"/>
                <w:b/>
                <w:bCs/>
                <w:sz w:val="16"/>
                <w:szCs w:val="16"/>
              </w:rPr>
            </w:pPr>
            <w:r w:rsidRPr="008A56CA">
              <w:rPr>
                <w:rFonts w:ascii="Arial CE" w:hAnsi="Arial CE" w:cs="Arial CE"/>
                <w:b/>
                <w:bCs/>
                <w:sz w:val="16"/>
                <w:szCs w:val="16"/>
              </w:rPr>
              <w:t>2009</w:t>
            </w:r>
          </w:p>
        </w:tc>
        <w:tc>
          <w:tcPr>
            <w:tcW w:w="532" w:type="dxa"/>
            <w:tcBorders>
              <w:top w:val="single" w:sz="8" w:space="0" w:color="auto"/>
              <w:left w:val="nil"/>
              <w:bottom w:val="single" w:sz="8" w:space="0" w:color="auto"/>
              <w:right w:val="single" w:sz="4" w:space="0" w:color="auto"/>
            </w:tcBorders>
            <w:shd w:val="clear" w:color="auto" w:fill="auto"/>
            <w:noWrap/>
            <w:vAlign w:val="bottom"/>
            <w:hideMark/>
          </w:tcPr>
          <w:p w:rsidR="00B51BA4" w:rsidRPr="008A56CA" w:rsidRDefault="00B51BA4">
            <w:pPr>
              <w:jc w:val="center"/>
              <w:rPr>
                <w:rFonts w:ascii="Arial CE" w:hAnsi="Arial CE" w:cs="Arial CE"/>
                <w:b/>
                <w:bCs/>
                <w:sz w:val="16"/>
                <w:szCs w:val="16"/>
              </w:rPr>
            </w:pPr>
            <w:r w:rsidRPr="008A56CA">
              <w:rPr>
                <w:rFonts w:ascii="Arial CE" w:hAnsi="Arial CE" w:cs="Arial CE"/>
                <w:b/>
                <w:bCs/>
                <w:sz w:val="16"/>
                <w:szCs w:val="16"/>
              </w:rPr>
              <w:t>2010</w:t>
            </w:r>
          </w:p>
        </w:tc>
        <w:tc>
          <w:tcPr>
            <w:tcW w:w="532" w:type="dxa"/>
            <w:gridSpan w:val="2"/>
            <w:tcBorders>
              <w:top w:val="single" w:sz="8" w:space="0" w:color="auto"/>
              <w:left w:val="nil"/>
              <w:bottom w:val="single" w:sz="8" w:space="0" w:color="auto"/>
              <w:right w:val="single" w:sz="4" w:space="0" w:color="auto"/>
            </w:tcBorders>
            <w:shd w:val="clear" w:color="auto" w:fill="auto"/>
            <w:noWrap/>
            <w:vAlign w:val="bottom"/>
            <w:hideMark/>
          </w:tcPr>
          <w:p w:rsidR="00B51BA4" w:rsidRPr="008A56CA" w:rsidRDefault="00B51BA4">
            <w:pPr>
              <w:jc w:val="center"/>
              <w:rPr>
                <w:rFonts w:ascii="Arial CE" w:hAnsi="Arial CE" w:cs="Arial CE"/>
                <w:b/>
                <w:bCs/>
                <w:sz w:val="16"/>
                <w:szCs w:val="16"/>
              </w:rPr>
            </w:pPr>
            <w:r w:rsidRPr="008A56CA">
              <w:rPr>
                <w:rFonts w:ascii="Arial CE" w:hAnsi="Arial CE" w:cs="Arial CE"/>
                <w:b/>
                <w:bCs/>
                <w:sz w:val="16"/>
                <w:szCs w:val="16"/>
              </w:rPr>
              <w:t>2011</w:t>
            </w:r>
          </w:p>
        </w:tc>
        <w:tc>
          <w:tcPr>
            <w:tcW w:w="532" w:type="dxa"/>
            <w:gridSpan w:val="2"/>
            <w:tcBorders>
              <w:top w:val="single" w:sz="8" w:space="0" w:color="auto"/>
              <w:left w:val="nil"/>
              <w:bottom w:val="single" w:sz="8" w:space="0" w:color="auto"/>
              <w:right w:val="single" w:sz="4" w:space="0" w:color="auto"/>
            </w:tcBorders>
            <w:shd w:val="clear" w:color="auto" w:fill="auto"/>
            <w:noWrap/>
            <w:vAlign w:val="bottom"/>
            <w:hideMark/>
          </w:tcPr>
          <w:p w:rsidR="00B51BA4" w:rsidRPr="008A56CA" w:rsidRDefault="00B51BA4">
            <w:pPr>
              <w:jc w:val="center"/>
              <w:rPr>
                <w:rFonts w:ascii="Arial CE" w:hAnsi="Arial CE" w:cs="Arial CE"/>
                <w:b/>
                <w:bCs/>
                <w:sz w:val="16"/>
                <w:szCs w:val="16"/>
              </w:rPr>
            </w:pPr>
            <w:r w:rsidRPr="008A56CA">
              <w:rPr>
                <w:rFonts w:ascii="Arial CE" w:hAnsi="Arial CE" w:cs="Arial CE"/>
                <w:b/>
                <w:bCs/>
                <w:sz w:val="16"/>
                <w:szCs w:val="16"/>
              </w:rPr>
              <w:t>2012</w:t>
            </w:r>
          </w:p>
        </w:tc>
        <w:tc>
          <w:tcPr>
            <w:tcW w:w="532" w:type="dxa"/>
            <w:gridSpan w:val="2"/>
            <w:tcBorders>
              <w:top w:val="single" w:sz="8" w:space="0" w:color="auto"/>
              <w:left w:val="nil"/>
              <w:bottom w:val="single" w:sz="8" w:space="0" w:color="auto"/>
              <w:right w:val="single" w:sz="4" w:space="0" w:color="auto"/>
            </w:tcBorders>
            <w:shd w:val="clear" w:color="auto" w:fill="auto"/>
            <w:noWrap/>
            <w:vAlign w:val="bottom"/>
            <w:hideMark/>
          </w:tcPr>
          <w:p w:rsidR="00B51BA4" w:rsidRPr="008A56CA" w:rsidRDefault="00B51BA4">
            <w:pPr>
              <w:jc w:val="center"/>
              <w:rPr>
                <w:rFonts w:ascii="Arial CE" w:hAnsi="Arial CE" w:cs="Arial CE"/>
                <w:b/>
                <w:bCs/>
                <w:sz w:val="16"/>
                <w:szCs w:val="16"/>
              </w:rPr>
            </w:pPr>
            <w:r w:rsidRPr="008A56CA">
              <w:rPr>
                <w:rFonts w:ascii="Arial CE" w:hAnsi="Arial CE" w:cs="Arial CE"/>
                <w:b/>
                <w:bCs/>
                <w:sz w:val="16"/>
                <w:szCs w:val="16"/>
              </w:rPr>
              <w:t>2013</w:t>
            </w:r>
          </w:p>
        </w:tc>
        <w:tc>
          <w:tcPr>
            <w:tcW w:w="532" w:type="dxa"/>
            <w:gridSpan w:val="2"/>
            <w:tcBorders>
              <w:top w:val="single" w:sz="8" w:space="0" w:color="auto"/>
              <w:left w:val="nil"/>
              <w:bottom w:val="single" w:sz="8" w:space="0" w:color="auto"/>
              <w:right w:val="single" w:sz="4" w:space="0" w:color="auto"/>
            </w:tcBorders>
            <w:shd w:val="clear" w:color="auto" w:fill="auto"/>
            <w:noWrap/>
            <w:vAlign w:val="bottom"/>
            <w:hideMark/>
          </w:tcPr>
          <w:p w:rsidR="00B51BA4" w:rsidRPr="008A56CA" w:rsidRDefault="00B51BA4">
            <w:pPr>
              <w:jc w:val="center"/>
              <w:rPr>
                <w:rFonts w:ascii="Arial CE" w:hAnsi="Arial CE" w:cs="Arial CE"/>
                <w:b/>
                <w:bCs/>
                <w:sz w:val="16"/>
                <w:szCs w:val="16"/>
              </w:rPr>
            </w:pPr>
            <w:r w:rsidRPr="008A56CA">
              <w:rPr>
                <w:rFonts w:ascii="Arial CE" w:hAnsi="Arial CE" w:cs="Arial CE"/>
                <w:b/>
                <w:bCs/>
                <w:sz w:val="16"/>
                <w:szCs w:val="16"/>
              </w:rPr>
              <w:t>2014</w:t>
            </w:r>
          </w:p>
        </w:tc>
        <w:tc>
          <w:tcPr>
            <w:tcW w:w="532" w:type="dxa"/>
            <w:gridSpan w:val="2"/>
            <w:tcBorders>
              <w:top w:val="single" w:sz="8" w:space="0" w:color="auto"/>
              <w:left w:val="nil"/>
              <w:bottom w:val="single" w:sz="8" w:space="0" w:color="auto"/>
              <w:right w:val="single" w:sz="4" w:space="0" w:color="auto"/>
            </w:tcBorders>
            <w:shd w:val="clear" w:color="auto" w:fill="auto"/>
            <w:noWrap/>
            <w:vAlign w:val="bottom"/>
            <w:hideMark/>
          </w:tcPr>
          <w:p w:rsidR="00B51BA4" w:rsidRPr="008A56CA" w:rsidRDefault="00B51BA4">
            <w:pPr>
              <w:jc w:val="center"/>
              <w:rPr>
                <w:rFonts w:ascii="Arial CE" w:hAnsi="Arial CE" w:cs="Arial CE"/>
                <w:b/>
                <w:bCs/>
                <w:sz w:val="16"/>
                <w:szCs w:val="16"/>
              </w:rPr>
            </w:pPr>
            <w:r w:rsidRPr="008A56CA">
              <w:rPr>
                <w:rFonts w:ascii="Arial CE" w:hAnsi="Arial CE" w:cs="Arial CE"/>
                <w:b/>
                <w:bCs/>
                <w:sz w:val="16"/>
                <w:szCs w:val="16"/>
              </w:rPr>
              <w:t>2015</w:t>
            </w:r>
          </w:p>
        </w:tc>
        <w:tc>
          <w:tcPr>
            <w:tcW w:w="532" w:type="dxa"/>
            <w:tcBorders>
              <w:top w:val="single" w:sz="8" w:space="0" w:color="auto"/>
              <w:left w:val="nil"/>
              <w:bottom w:val="single" w:sz="8" w:space="0" w:color="auto"/>
              <w:right w:val="single" w:sz="4" w:space="0" w:color="auto"/>
            </w:tcBorders>
            <w:shd w:val="clear" w:color="auto" w:fill="auto"/>
            <w:noWrap/>
            <w:vAlign w:val="bottom"/>
            <w:hideMark/>
          </w:tcPr>
          <w:p w:rsidR="00B51BA4" w:rsidRPr="008A56CA" w:rsidRDefault="00B51BA4">
            <w:pPr>
              <w:jc w:val="center"/>
              <w:rPr>
                <w:rFonts w:ascii="Arial CE" w:hAnsi="Arial CE" w:cs="Arial CE"/>
                <w:b/>
                <w:bCs/>
                <w:sz w:val="16"/>
                <w:szCs w:val="16"/>
              </w:rPr>
            </w:pPr>
            <w:r w:rsidRPr="008A56CA">
              <w:rPr>
                <w:rFonts w:ascii="Arial CE" w:hAnsi="Arial CE" w:cs="Arial CE"/>
                <w:b/>
                <w:bCs/>
                <w:sz w:val="16"/>
                <w:szCs w:val="16"/>
              </w:rPr>
              <w:t>2016</w:t>
            </w:r>
          </w:p>
        </w:tc>
        <w:tc>
          <w:tcPr>
            <w:tcW w:w="532" w:type="dxa"/>
            <w:gridSpan w:val="2"/>
            <w:tcBorders>
              <w:top w:val="single" w:sz="8" w:space="0" w:color="auto"/>
              <w:left w:val="nil"/>
              <w:bottom w:val="single" w:sz="8" w:space="0" w:color="auto"/>
              <w:right w:val="single" w:sz="4" w:space="0" w:color="auto"/>
            </w:tcBorders>
            <w:shd w:val="clear" w:color="auto" w:fill="auto"/>
            <w:noWrap/>
            <w:vAlign w:val="bottom"/>
            <w:hideMark/>
          </w:tcPr>
          <w:p w:rsidR="00B51BA4" w:rsidRPr="008A56CA" w:rsidRDefault="00B51BA4">
            <w:pPr>
              <w:jc w:val="center"/>
              <w:rPr>
                <w:rFonts w:ascii="Arial CE" w:hAnsi="Arial CE" w:cs="Arial CE"/>
                <w:b/>
                <w:bCs/>
                <w:sz w:val="16"/>
                <w:szCs w:val="16"/>
              </w:rPr>
            </w:pPr>
            <w:r w:rsidRPr="008A56CA">
              <w:rPr>
                <w:rFonts w:ascii="Arial CE" w:hAnsi="Arial CE" w:cs="Arial CE"/>
                <w:b/>
                <w:bCs/>
                <w:sz w:val="16"/>
                <w:szCs w:val="16"/>
              </w:rPr>
              <w:t>2017</w:t>
            </w:r>
          </w:p>
        </w:tc>
        <w:tc>
          <w:tcPr>
            <w:tcW w:w="655" w:type="dxa"/>
            <w:gridSpan w:val="2"/>
            <w:tcBorders>
              <w:top w:val="single" w:sz="8" w:space="0" w:color="auto"/>
              <w:left w:val="nil"/>
              <w:bottom w:val="single" w:sz="8" w:space="0" w:color="auto"/>
              <w:right w:val="single" w:sz="4" w:space="0" w:color="auto"/>
            </w:tcBorders>
            <w:shd w:val="clear" w:color="000000" w:fill="FFFF00"/>
            <w:noWrap/>
            <w:vAlign w:val="bottom"/>
            <w:hideMark/>
          </w:tcPr>
          <w:p w:rsidR="00B51BA4" w:rsidRPr="008A56CA" w:rsidRDefault="00B51BA4">
            <w:pPr>
              <w:jc w:val="center"/>
              <w:rPr>
                <w:rFonts w:ascii="Arial CE" w:hAnsi="Arial CE" w:cs="Arial CE"/>
                <w:b/>
                <w:bCs/>
                <w:sz w:val="16"/>
                <w:szCs w:val="16"/>
              </w:rPr>
            </w:pPr>
            <w:r w:rsidRPr="008A56CA">
              <w:rPr>
                <w:rFonts w:ascii="Arial CE" w:hAnsi="Arial CE" w:cs="Arial CE"/>
                <w:b/>
                <w:bCs/>
                <w:sz w:val="16"/>
                <w:szCs w:val="16"/>
              </w:rPr>
              <w:t>R 2018</w:t>
            </w:r>
          </w:p>
        </w:tc>
        <w:tc>
          <w:tcPr>
            <w:tcW w:w="636" w:type="dxa"/>
            <w:gridSpan w:val="2"/>
            <w:vAlign w:val="center"/>
            <w:hideMark/>
          </w:tcPr>
          <w:p w:rsidR="00B51BA4" w:rsidRDefault="00B51BA4">
            <w:pPr>
              <w:rPr>
                <w:sz w:val="20"/>
                <w:szCs w:val="20"/>
              </w:rPr>
            </w:pPr>
          </w:p>
        </w:tc>
        <w:tc>
          <w:tcPr>
            <w:tcW w:w="636" w:type="dxa"/>
            <w:gridSpan w:val="2"/>
            <w:vAlign w:val="center"/>
            <w:hideMark/>
          </w:tcPr>
          <w:p w:rsidR="00B51BA4" w:rsidRDefault="00B51BA4">
            <w:pPr>
              <w:rPr>
                <w:sz w:val="20"/>
                <w:szCs w:val="20"/>
              </w:rPr>
            </w:pPr>
          </w:p>
        </w:tc>
      </w:tr>
      <w:tr w:rsidR="00B51BA4" w:rsidTr="00742E30">
        <w:trPr>
          <w:gridAfter w:val="1"/>
          <w:wAfter w:w="145" w:type="dxa"/>
          <w:trHeight w:val="255"/>
        </w:trPr>
        <w:tc>
          <w:tcPr>
            <w:tcW w:w="1744" w:type="dxa"/>
            <w:gridSpan w:val="2"/>
            <w:tcBorders>
              <w:top w:val="nil"/>
              <w:left w:val="single" w:sz="8" w:space="0" w:color="auto"/>
              <w:bottom w:val="nil"/>
              <w:right w:val="single" w:sz="4" w:space="0" w:color="auto"/>
            </w:tcBorders>
            <w:shd w:val="clear" w:color="auto" w:fill="auto"/>
            <w:noWrap/>
            <w:vAlign w:val="bottom"/>
            <w:hideMark/>
          </w:tcPr>
          <w:p w:rsidR="00B51BA4" w:rsidRDefault="00B51BA4">
            <w:pPr>
              <w:rPr>
                <w:rFonts w:ascii="Arial" w:hAnsi="Arial" w:cs="Arial"/>
                <w:sz w:val="16"/>
                <w:szCs w:val="16"/>
              </w:rPr>
            </w:pPr>
            <w:r>
              <w:rPr>
                <w:rFonts w:ascii="Arial" w:hAnsi="Arial" w:cs="Arial"/>
                <w:sz w:val="16"/>
                <w:szCs w:val="16"/>
              </w:rPr>
              <w:t>ze závislé činnosti</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7 772</w:t>
            </w:r>
          </w:p>
        </w:tc>
        <w:tc>
          <w:tcPr>
            <w:tcW w:w="532" w:type="dxa"/>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8 656</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9 123</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9 132</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10 339</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9 525</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9 012</w:t>
            </w:r>
          </w:p>
        </w:tc>
        <w:tc>
          <w:tcPr>
            <w:tcW w:w="532" w:type="dxa"/>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8 986</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9 577</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9 681</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12 987</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13 577</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13 857</w:t>
            </w:r>
          </w:p>
        </w:tc>
        <w:tc>
          <w:tcPr>
            <w:tcW w:w="532" w:type="dxa"/>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15 512</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17 400</w:t>
            </w:r>
          </w:p>
        </w:tc>
        <w:tc>
          <w:tcPr>
            <w:tcW w:w="655" w:type="dxa"/>
            <w:gridSpan w:val="2"/>
            <w:tcBorders>
              <w:top w:val="nil"/>
              <w:left w:val="nil"/>
              <w:bottom w:val="nil"/>
              <w:right w:val="single" w:sz="4" w:space="0" w:color="auto"/>
            </w:tcBorders>
            <w:shd w:val="clear" w:color="000000" w:fill="FFFF00"/>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17 950</w:t>
            </w:r>
          </w:p>
        </w:tc>
        <w:tc>
          <w:tcPr>
            <w:tcW w:w="636" w:type="dxa"/>
            <w:gridSpan w:val="2"/>
            <w:vAlign w:val="center"/>
            <w:hideMark/>
          </w:tcPr>
          <w:p w:rsidR="00B51BA4" w:rsidRDefault="00B51BA4">
            <w:pPr>
              <w:rPr>
                <w:sz w:val="20"/>
                <w:szCs w:val="20"/>
              </w:rPr>
            </w:pPr>
          </w:p>
        </w:tc>
        <w:tc>
          <w:tcPr>
            <w:tcW w:w="636" w:type="dxa"/>
            <w:gridSpan w:val="2"/>
            <w:vAlign w:val="center"/>
            <w:hideMark/>
          </w:tcPr>
          <w:p w:rsidR="00B51BA4" w:rsidRDefault="00B51BA4">
            <w:pPr>
              <w:rPr>
                <w:sz w:val="20"/>
                <w:szCs w:val="20"/>
              </w:rPr>
            </w:pPr>
          </w:p>
        </w:tc>
      </w:tr>
      <w:tr w:rsidR="00B51BA4" w:rsidTr="00742E30">
        <w:trPr>
          <w:gridAfter w:val="1"/>
          <w:wAfter w:w="145" w:type="dxa"/>
          <w:trHeight w:val="255"/>
        </w:trPr>
        <w:tc>
          <w:tcPr>
            <w:tcW w:w="1744" w:type="dxa"/>
            <w:gridSpan w:val="2"/>
            <w:tcBorders>
              <w:top w:val="nil"/>
              <w:left w:val="single" w:sz="8" w:space="0" w:color="auto"/>
              <w:bottom w:val="nil"/>
              <w:right w:val="single" w:sz="4" w:space="0" w:color="auto"/>
            </w:tcBorders>
            <w:shd w:val="clear" w:color="auto" w:fill="auto"/>
            <w:noWrap/>
            <w:vAlign w:val="bottom"/>
            <w:hideMark/>
          </w:tcPr>
          <w:p w:rsidR="00B51BA4" w:rsidRDefault="00B51BA4">
            <w:pPr>
              <w:rPr>
                <w:rFonts w:ascii="Arial" w:hAnsi="Arial" w:cs="Arial"/>
                <w:sz w:val="16"/>
                <w:szCs w:val="16"/>
              </w:rPr>
            </w:pPr>
            <w:r>
              <w:rPr>
                <w:rFonts w:ascii="Arial" w:hAnsi="Arial" w:cs="Arial"/>
                <w:sz w:val="16"/>
                <w:szCs w:val="16"/>
              </w:rPr>
              <w:t>FO z přiznání</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5 128</w:t>
            </w:r>
          </w:p>
        </w:tc>
        <w:tc>
          <w:tcPr>
            <w:tcW w:w="532" w:type="dxa"/>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5 788</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6 185</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4 528</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3 660</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5 451</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1 433</w:t>
            </w:r>
          </w:p>
        </w:tc>
        <w:tc>
          <w:tcPr>
            <w:tcW w:w="532" w:type="dxa"/>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1 996</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1 299</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1 466</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1 005</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1 413</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1 440</w:t>
            </w:r>
          </w:p>
        </w:tc>
        <w:tc>
          <w:tcPr>
            <w:tcW w:w="532" w:type="dxa"/>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1 364</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509</w:t>
            </w:r>
          </w:p>
        </w:tc>
        <w:tc>
          <w:tcPr>
            <w:tcW w:w="655" w:type="dxa"/>
            <w:gridSpan w:val="2"/>
            <w:tcBorders>
              <w:top w:val="nil"/>
              <w:left w:val="nil"/>
              <w:bottom w:val="nil"/>
              <w:right w:val="single" w:sz="4" w:space="0" w:color="auto"/>
            </w:tcBorders>
            <w:shd w:val="clear" w:color="000000" w:fill="FFFF00"/>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450</w:t>
            </w:r>
          </w:p>
        </w:tc>
        <w:tc>
          <w:tcPr>
            <w:tcW w:w="636" w:type="dxa"/>
            <w:gridSpan w:val="2"/>
            <w:vAlign w:val="center"/>
            <w:hideMark/>
          </w:tcPr>
          <w:p w:rsidR="00B51BA4" w:rsidRDefault="00B51BA4">
            <w:pPr>
              <w:rPr>
                <w:sz w:val="20"/>
                <w:szCs w:val="20"/>
              </w:rPr>
            </w:pPr>
          </w:p>
        </w:tc>
        <w:tc>
          <w:tcPr>
            <w:tcW w:w="636" w:type="dxa"/>
            <w:gridSpan w:val="2"/>
            <w:vAlign w:val="center"/>
            <w:hideMark/>
          </w:tcPr>
          <w:p w:rsidR="00B51BA4" w:rsidRDefault="00B51BA4">
            <w:pPr>
              <w:rPr>
                <w:sz w:val="20"/>
                <w:szCs w:val="20"/>
              </w:rPr>
            </w:pPr>
          </w:p>
        </w:tc>
      </w:tr>
      <w:tr w:rsidR="00B51BA4" w:rsidTr="00742E30">
        <w:trPr>
          <w:gridAfter w:val="1"/>
          <w:wAfter w:w="145" w:type="dxa"/>
          <w:trHeight w:val="255"/>
        </w:trPr>
        <w:tc>
          <w:tcPr>
            <w:tcW w:w="1744" w:type="dxa"/>
            <w:gridSpan w:val="2"/>
            <w:tcBorders>
              <w:top w:val="nil"/>
              <w:left w:val="single" w:sz="8" w:space="0" w:color="auto"/>
              <w:bottom w:val="nil"/>
              <w:right w:val="single" w:sz="4" w:space="0" w:color="auto"/>
            </w:tcBorders>
            <w:shd w:val="clear" w:color="auto" w:fill="auto"/>
            <w:noWrap/>
            <w:vAlign w:val="bottom"/>
            <w:hideMark/>
          </w:tcPr>
          <w:p w:rsidR="00B51BA4" w:rsidRDefault="00B51BA4">
            <w:pPr>
              <w:rPr>
                <w:rFonts w:ascii="Arial" w:hAnsi="Arial" w:cs="Arial"/>
                <w:sz w:val="16"/>
                <w:szCs w:val="16"/>
              </w:rPr>
            </w:pPr>
            <w:r>
              <w:rPr>
                <w:rFonts w:ascii="Arial" w:hAnsi="Arial" w:cs="Arial"/>
                <w:sz w:val="16"/>
                <w:szCs w:val="16"/>
              </w:rPr>
              <w:t>z právnických osob</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7 868</w:t>
            </w:r>
          </w:p>
        </w:tc>
        <w:tc>
          <w:tcPr>
            <w:tcW w:w="532" w:type="dxa"/>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8 576</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9 494</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9 696</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10 931</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12 842</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8 904</w:t>
            </w:r>
          </w:p>
        </w:tc>
        <w:tc>
          <w:tcPr>
            <w:tcW w:w="532" w:type="dxa"/>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8 732</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8 139</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8 960</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11 770</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13 460</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13 666</w:t>
            </w:r>
          </w:p>
        </w:tc>
        <w:tc>
          <w:tcPr>
            <w:tcW w:w="532" w:type="dxa"/>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15 443</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15 696</w:t>
            </w:r>
          </w:p>
        </w:tc>
        <w:tc>
          <w:tcPr>
            <w:tcW w:w="655" w:type="dxa"/>
            <w:gridSpan w:val="2"/>
            <w:tcBorders>
              <w:top w:val="nil"/>
              <w:left w:val="nil"/>
              <w:bottom w:val="nil"/>
              <w:right w:val="single" w:sz="4" w:space="0" w:color="auto"/>
            </w:tcBorders>
            <w:shd w:val="clear" w:color="000000" w:fill="FFFF00"/>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16 000</w:t>
            </w:r>
          </w:p>
        </w:tc>
        <w:tc>
          <w:tcPr>
            <w:tcW w:w="636" w:type="dxa"/>
            <w:gridSpan w:val="2"/>
            <w:vAlign w:val="center"/>
            <w:hideMark/>
          </w:tcPr>
          <w:p w:rsidR="00B51BA4" w:rsidRDefault="00B51BA4">
            <w:pPr>
              <w:rPr>
                <w:sz w:val="20"/>
                <w:szCs w:val="20"/>
              </w:rPr>
            </w:pPr>
          </w:p>
        </w:tc>
        <w:tc>
          <w:tcPr>
            <w:tcW w:w="636" w:type="dxa"/>
            <w:gridSpan w:val="2"/>
            <w:vAlign w:val="center"/>
            <w:hideMark/>
          </w:tcPr>
          <w:p w:rsidR="00B51BA4" w:rsidRDefault="00B51BA4">
            <w:pPr>
              <w:rPr>
                <w:sz w:val="20"/>
                <w:szCs w:val="20"/>
              </w:rPr>
            </w:pPr>
          </w:p>
        </w:tc>
      </w:tr>
      <w:tr w:rsidR="00B51BA4" w:rsidTr="00742E30">
        <w:trPr>
          <w:gridAfter w:val="1"/>
          <w:wAfter w:w="145" w:type="dxa"/>
          <w:trHeight w:val="255"/>
        </w:trPr>
        <w:tc>
          <w:tcPr>
            <w:tcW w:w="1744" w:type="dxa"/>
            <w:gridSpan w:val="2"/>
            <w:tcBorders>
              <w:top w:val="nil"/>
              <w:left w:val="single" w:sz="8" w:space="0" w:color="auto"/>
              <w:bottom w:val="nil"/>
              <w:right w:val="single" w:sz="4" w:space="0" w:color="auto"/>
            </w:tcBorders>
            <w:shd w:val="clear" w:color="auto" w:fill="auto"/>
            <w:noWrap/>
            <w:vAlign w:val="bottom"/>
            <w:hideMark/>
          </w:tcPr>
          <w:p w:rsidR="00B51BA4" w:rsidRDefault="00B51BA4">
            <w:pPr>
              <w:rPr>
                <w:rFonts w:ascii="Arial" w:hAnsi="Arial" w:cs="Arial"/>
                <w:sz w:val="16"/>
                <w:szCs w:val="16"/>
              </w:rPr>
            </w:pPr>
            <w:r>
              <w:rPr>
                <w:rFonts w:ascii="Arial" w:hAnsi="Arial" w:cs="Arial"/>
                <w:sz w:val="16"/>
                <w:szCs w:val="16"/>
              </w:rPr>
              <w:t>DPH</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11 856</w:t>
            </w:r>
          </w:p>
        </w:tc>
        <w:tc>
          <w:tcPr>
            <w:tcW w:w="532" w:type="dxa"/>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12 641</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14 935</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15 652</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16 558</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18 362</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17 902</w:t>
            </w:r>
          </w:p>
        </w:tc>
        <w:tc>
          <w:tcPr>
            <w:tcW w:w="532" w:type="dxa"/>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18 833</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19 325</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18 079</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25 573</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27 258</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27 046</w:t>
            </w:r>
          </w:p>
        </w:tc>
        <w:tc>
          <w:tcPr>
            <w:tcW w:w="532" w:type="dxa"/>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28 298</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31 836</w:t>
            </w:r>
          </w:p>
        </w:tc>
        <w:tc>
          <w:tcPr>
            <w:tcW w:w="655" w:type="dxa"/>
            <w:gridSpan w:val="2"/>
            <w:tcBorders>
              <w:top w:val="nil"/>
              <w:left w:val="nil"/>
              <w:bottom w:val="nil"/>
              <w:right w:val="single" w:sz="4" w:space="0" w:color="auto"/>
            </w:tcBorders>
            <w:shd w:val="clear" w:color="000000" w:fill="FFFF00"/>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35 100</w:t>
            </w:r>
          </w:p>
        </w:tc>
        <w:tc>
          <w:tcPr>
            <w:tcW w:w="636" w:type="dxa"/>
            <w:gridSpan w:val="2"/>
            <w:vAlign w:val="center"/>
            <w:hideMark/>
          </w:tcPr>
          <w:p w:rsidR="00B51BA4" w:rsidRDefault="00B51BA4">
            <w:pPr>
              <w:rPr>
                <w:sz w:val="20"/>
                <w:szCs w:val="20"/>
              </w:rPr>
            </w:pPr>
          </w:p>
        </w:tc>
        <w:tc>
          <w:tcPr>
            <w:tcW w:w="636" w:type="dxa"/>
            <w:gridSpan w:val="2"/>
            <w:vAlign w:val="center"/>
            <w:hideMark/>
          </w:tcPr>
          <w:p w:rsidR="00B51BA4" w:rsidRDefault="00B51BA4">
            <w:pPr>
              <w:rPr>
                <w:sz w:val="20"/>
                <w:szCs w:val="20"/>
              </w:rPr>
            </w:pPr>
          </w:p>
        </w:tc>
      </w:tr>
      <w:tr w:rsidR="00B51BA4" w:rsidTr="00742E30">
        <w:trPr>
          <w:gridAfter w:val="1"/>
          <w:wAfter w:w="145" w:type="dxa"/>
          <w:trHeight w:val="255"/>
        </w:trPr>
        <w:tc>
          <w:tcPr>
            <w:tcW w:w="1744" w:type="dxa"/>
            <w:gridSpan w:val="2"/>
            <w:tcBorders>
              <w:top w:val="nil"/>
              <w:left w:val="single" w:sz="8" w:space="0" w:color="auto"/>
              <w:bottom w:val="nil"/>
              <w:right w:val="single" w:sz="4" w:space="0" w:color="auto"/>
            </w:tcBorders>
            <w:shd w:val="clear" w:color="auto" w:fill="auto"/>
            <w:noWrap/>
            <w:vAlign w:val="bottom"/>
            <w:hideMark/>
          </w:tcPr>
          <w:p w:rsidR="00B51BA4" w:rsidRDefault="00B51BA4">
            <w:pPr>
              <w:rPr>
                <w:rFonts w:ascii="Arial" w:hAnsi="Arial" w:cs="Arial"/>
                <w:sz w:val="16"/>
                <w:szCs w:val="16"/>
              </w:rPr>
            </w:pPr>
            <w:r>
              <w:rPr>
                <w:rFonts w:ascii="Arial" w:hAnsi="Arial" w:cs="Arial"/>
                <w:sz w:val="16"/>
                <w:szCs w:val="16"/>
              </w:rPr>
              <w:t>srážková</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456</w:t>
            </w:r>
          </w:p>
        </w:tc>
        <w:tc>
          <w:tcPr>
            <w:tcW w:w="532" w:type="dxa"/>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546</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460</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524</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602</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739</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713</w:t>
            </w:r>
          </w:p>
        </w:tc>
        <w:tc>
          <w:tcPr>
            <w:tcW w:w="532" w:type="dxa"/>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717</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778</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912</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1 224</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1 406</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1 473</w:t>
            </w:r>
          </w:p>
        </w:tc>
        <w:tc>
          <w:tcPr>
            <w:tcW w:w="532" w:type="dxa"/>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1 494</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1 474</w:t>
            </w:r>
          </w:p>
        </w:tc>
        <w:tc>
          <w:tcPr>
            <w:tcW w:w="655" w:type="dxa"/>
            <w:gridSpan w:val="2"/>
            <w:tcBorders>
              <w:top w:val="nil"/>
              <w:left w:val="nil"/>
              <w:bottom w:val="nil"/>
              <w:right w:val="single" w:sz="4" w:space="0" w:color="auto"/>
            </w:tcBorders>
            <w:shd w:val="clear" w:color="000000" w:fill="FFFF00"/>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1 500</w:t>
            </w:r>
          </w:p>
        </w:tc>
        <w:tc>
          <w:tcPr>
            <w:tcW w:w="636" w:type="dxa"/>
            <w:gridSpan w:val="2"/>
            <w:vAlign w:val="center"/>
            <w:hideMark/>
          </w:tcPr>
          <w:p w:rsidR="00B51BA4" w:rsidRDefault="00B51BA4">
            <w:pPr>
              <w:rPr>
                <w:sz w:val="20"/>
                <w:szCs w:val="20"/>
              </w:rPr>
            </w:pPr>
          </w:p>
        </w:tc>
        <w:tc>
          <w:tcPr>
            <w:tcW w:w="636" w:type="dxa"/>
            <w:gridSpan w:val="2"/>
            <w:vAlign w:val="center"/>
            <w:hideMark/>
          </w:tcPr>
          <w:p w:rsidR="00B51BA4" w:rsidRDefault="00B51BA4">
            <w:pPr>
              <w:rPr>
                <w:sz w:val="20"/>
                <w:szCs w:val="20"/>
              </w:rPr>
            </w:pPr>
          </w:p>
        </w:tc>
      </w:tr>
      <w:tr w:rsidR="00B51BA4" w:rsidTr="00742E30">
        <w:trPr>
          <w:gridAfter w:val="1"/>
          <w:wAfter w:w="145" w:type="dxa"/>
          <w:trHeight w:val="255"/>
        </w:trPr>
        <w:tc>
          <w:tcPr>
            <w:tcW w:w="1744" w:type="dxa"/>
            <w:gridSpan w:val="2"/>
            <w:tcBorders>
              <w:top w:val="nil"/>
              <w:left w:val="single" w:sz="8" w:space="0" w:color="auto"/>
              <w:bottom w:val="nil"/>
              <w:right w:val="single" w:sz="4" w:space="0" w:color="auto"/>
            </w:tcBorders>
            <w:shd w:val="clear" w:color="auto" w:fill="auto"/>
            <w:noWrap/>
            <w:vAlign w:val="bottom"/>
            <w:hideMark/>
          </w:tcPr>
          <w:p w:rsidR="00B51BA4" w:rsidRDefault="00B51BA4">
            <w:pPr>
              <w:rPr>
                <w:rFonts w:ascii="Arial" w:hAnsi="Arial" w:cs="Arial"/>
                <w:sz w:val="16"/>
                <w:szCs w:val="16"/>
              </w:rPr>
            </w:pPr>
            <w:r>
              <w:rPr>
                <w:rFonts w:ascii="Arial" w:hAnsi="Arial" w:cs="Arial"/>
                <w:sz w:val="16"/>
                <w:szCs w:val="16"/>
              </w:rPr>
              <w:t>z nemovitosti</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2 109</w:t>
            </w:r>
          </w:p>
        </w:tc>
        <w:tc>
          <w:tcPr>
            <w:tcW w:w="532" w:type="dxa"/>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2 277</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2 201</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2 300</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2 307</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2 299</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2 288</w:t>
            </w:r>
          </w:p>
        </w:tc>
        <w:tc>
          <w:tcPr>
            <w:tcW w:w="532" w:type="dxa"/>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3 710</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3 691</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4 234</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4 033</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3 970</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3 957</w:t>
            </w:r>
          </w:p>
        </w:tc>
        <w:tc>
          <w:tcPr>
            <w:tcW w:w="532" w:type="dxa"/>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4 021</w:t>
            </w:r>
          </w:p>
        </w:tc>
        <w:tc>
          <w:tcPr>
            <w:tcW w:w="532" w:type="dxa"/>
            <w:gridSpan w:val="2"/>
            <w:tcBorders>
              <w:top w:val="nil"/>
              <w:left w:val="nil"/>
              <w:bottom w:val="nil"/>
              <w:right w:val="single" w:sz="4" w:space="0" w:color="auto"/>
            </w:tcBorders>
            <w:shd w:val="clear" w:color="auto" w:fill="auto"/>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4 018</w:t>
            </w:r>
          </w:p>
        </w:tc>
        <w:tc>
          <w:tcPr>
            <w:tcW w:w="655" w:type="dxa"/>
            <w:gridSpan w:val="2"/>
            <w:tcBorders>
              <w:top w:val="nil"/>
              <w:left w:val="nil"/>
              <w:bottom w:val="nil"/>
              <w:right w:val="single" w:sz="4" w:space="0" w:color="auto"/>
            </w:tcBorders>
            <w:shd w:val="clear" w:color="000000" w:fill="FFFF00"/>
            <w:noWrap/>
            <w:vAlign w:val="bottom"/>
            <w:hideMark/>
          </w:tcPr>
          <w:p w:rsidR="00B51BA4" w:rsidRPr="008A56CA" w:rsidRDefault="00B51BA4">
            <w:pPr>
              <w:jc w:val="right"/>
              <w:rPr>
                <w:rFonts w:ascii="Arial" w:hAnsi="Arial" w:cs="Arial"/>
                <w:sz w:val="12"/>
                <w:szCs w:val="12"/>
              </w:rPr>
            </w:pPr>
            <w:r w:rsidRPr="008A56CA">
              <w:rPr>
                <w:rFonts w:ascii="Arial" w:hAnsi="Arial" w:cs="Arial"/>
                <w:sz w:val="12"/>
                <w:szCs w:val="12"/>
              </w:rPr>
              <w:t>4 000</w:t>
            </w:r>
          </w:p>
        </w:tc>
        <w:tc>
          <w:tcPr>
            <w:tcW w:w="636" w:type="dxa"/>
            <w:gridSpan w:val="2"/>
            <w:vAlign w:val="center"/>
            <w:hideMark/>
          </w:tcPr>
          <w:p w:rsidR="00B51BA4" w:rsidRDefault="00B51BA4">
            <w:pPr>
              <w:rPr>
                <w:sz w:val="20"/>
                <w:szCs w:val="20"/>
              </w:rPr>
            </w:pPr>
          </w:p>
        </w:tc>
        <w:tc>
          <w:tcPr>
            <w:tcW w:w="636" w:type="dxa"/>
            <w:gridSpan w:val="2"/>
            <w:vAlign w:val="center"/>
            <w:hideMark/>
          </w:tcPr>
          <w:p w:rsidR="00B51BA4" w:rsidRDefault="00B51BA4">
            <w:pPr>
              <w:rPr>
                <w:sz w:val="20"/>
                <w:szCs w:val="20"/>
              </w:rPr>
            </w:pPr>
          </w:p>
        </w:tc>
      </w:tr>
      <w:tr w:rsidR="00B51BA4" w:rsidTr="00742E30">
        <w:trPr>
          <w:gridAfter w:val="1"/>
          <w:wAfter w:w="145" w:type="dxa"/>
          <w:trHeight w:val="270"/>
        </w:trPr>
        <w:tc>
          <w:tcPr>
            <w:tcW w:w="1744" w:type="dxa"/>
            <w:gridSpan w:val="2"/>
            <w:tcBorders>
              <w:top w:val="nil"/>
              <w:left w:val="single" w:sz="8" w:space="0" w:color="auto"/>
              <w:bottom w:val="single" w:sz="8" w:space="0" w:color="auto"/>
              <w:right w:val="single" w:sz="4" w:space="0" w:color="auto"/>
            </w:tcBorders>
            <w:shd w:val="clear" w:color="auto" w:fill="auto"/>
            <w:noWrap/>
            <w:vAlign w:val="bottom"/>
            <w:hideMark/>
          </w:tcPr>
          <w:p w:rsidR="00B51BA4" w:rsidRDefault="00B51BA4">
            <w:pPr>
              <w:rPr>
                <w:rFonts w:ascii="Arial" w:hAnsi="Arial" w:cs="Arial"/>
                <w:b/>
                <w:bCs/>
                <w:sz w:val="16"/>
                <w:szCs w:val="16"/>
              </w:rPr>
            </w:pPr>
            <w:r>
              <w:rPr>
                <w:rFonts w:ascii="Arial" w:hAnsi="Arial" w:cs="Arial"/>
                <w:b/>
                <w:bCs/>
                <w:sz w:val="16"/>
                <w:szCs w:val="16"/>
              </w:rPr>
              <w:t xml:space="preserve">Celkem </w:t>
            </w:r>
          </w:p>
        </w:tc>
        <w:tc>
          <w:tcPr>
            <w:tcW w:w="532" w:type="dxa"/>
            <w:gridSpan w:val="2"/>
            <w:tcBorders>
              <w:top w:val="nil"/>
              <w:left w:val="nil"/>
              <w:bottom w:val="single" w:sz="8" w:space="0" w:color="auto"/>
              <w:right w:val="single" w:sz="4" w:space="0" w:color="auto"/>
            </w:tcBorders>
            <w:shd w:val="clear" w:color="auto" w:fill="auto"/>
            <w:noWrap/>
            <w:vAlign w:val="bottom"/>
            <w:hideMark/>
          </w:tcPr>
          <w:p w:rsidR="00B51BA4" w:rsidRPr="008A56CA" w:rsidRDefault="00B51BA4">
            <w:pPr>
              <w:jc w:val="right"/>
              <w:rPr>
                <w:rFonts w:ascii="Arial" w:hAnsi="Arial" w:cs="Arial"/>
                <w:b/>
                <w:bCs/>
                <w:sz w:val="12"/>
                <w:szCs w:val="12"/>
              </w:rPr>
            </w:pPr>
            <w:r w:rsidRPr="008A56CA">
              <w:rPr>
                <w:rFonts w:ascii="Arial" w:hAnsi="Arial" w:cs="Arial"/>
                <w:b/>
                <w:bCs/>
                <w:sz w:val="12"/>
                <w:szCs w:val="12"/>
              </w:rPr>
              <w:t>35 189</w:t>
            </w:r>
          </w:p>
        </w:tc>
        <w:tc>
          <w:tcPr>
            <w:tcW w:w="532" w:type="dxa"/>
            <w:tcBorders>
              <w:top w:val="nil"/>
              <w:left w:val="nil"/>
              <w:bottom w:val="single" w:sz="8" w:space="0" w:color="auto"/>
              <w:right w:val="single" w:sz="4" w:space="0" w:color="auto"/>
            </w:tcBorders>
            <w:shd w:val="clear" w:color="auto" w:fill="auto"/>
            <w:noWrap/>
            <w:vAlign w:val="bottom"/>
            <w:hideMark/>
          </w:tcPr>
          <w:p w:rsidR="00B51BA4" w:rsidRPr="008A56CA" w:rsidRDefault="00B51BA4">
            <w:pPr>
              <w:jc w:val="right"/>
              <w:rPr>
                <w:rFonts w:ascii="Arial" w:hAnsi="Arial" w:cs="Arial"/>
                <w:b/>
                <w:bCs/>
                <w:sz w:val="12"/>
                <w:szCs w:val="12"/>
              </w:rPr>
            </w:pPr>
            <w:r w:rsidRPr="008A56CA">
              <w:rPr>
                <w:rFonts w:ascii="Arial" w:hAnsi="Arial" w:cs="Arial"/>
                <w:b/>
                <w:bCs/>
                <w:sz w:val="12"/>
                <w:szCs w:val="12"/>
              </w:rPr>
              <w:t>38 484</w:t>
            </w:r>
          </w:p>
        </w:tc>
        <w:tc>
          <w:tcPr>
            <w:tcW w:w="532" w:type="dxa"/>
            <w:gridSpan w:val="2"/>
            <w:tcBorders>
              <w:top w:val="nil"/>
              <w:left w:val="nil"/>
              <w:bottom w:val="single" w:sz="8" w:space="0" w:color="auto"/>
              <w:right w:val="single" w:sz="4" w:space="0" w:color="auto"/>
            </w:tcBorders>
            <w:shd w:val="clear" w:color="auto" w:fill="auto"/>
            <w:noWrap/>
            <w:vAlign w:val="bottom"/>
            <w:hideMark/>
          </w:tcPr>
          <w:p w:rsidR="00B51BA4" w:rsidRPr="008A56CA" w:rsidRDefault="00B51BA4">
            <w:pPr>
              <w:jc w:val="right"/>
              <w:rPr>
                <w:rFonts w:ascii="Arial" w:hAnsi="Arial" w:cs="Arial"/>
                <w:b/>
                <w:bCs/>
                <w:sz w:val="12"/>
                <w:szCs w:val="12"/>
              </w:rPr>
            </w:pPr>
            <w:r w:rsidRPr="008A56CA">
              <w:rPr>
                <w:rFonts w:ascii="Arial" w:hAnsi="Arial" w:cs="Arial"/>
                <w:b/>
                <w:bCs/>
                <w:sz w:val="12"/>
                <w:szCs w:val="12"/>
              </w:rPr>
              <w:t>42 398</w:t>
            </w:r>
          </w:p>
        </w:tc>
        <w:tc>
          <w:tcPr>
            <w:tcW w:w="532" w:type="dxa"/>
            <w:gridSpan w:val="2"/>
            <w:tcBorders>
              <w:top w:val="nil"/>
              <w:left w:val="nil"/>
              <w:bottom w:val="single" w:sz="8" w:space="0" w:color="auto"/>
              <w:right w:val="single" w:sz="4" w:space="0" w:color="auto"/>
            </w:tcBorders>
            <w:shd w:val="clear" w:color="auto" w:fill="auto"/>
            <w:noWrap/>
            <w:vAlign w:val="bottom"/>
            <w:hideMark/>
          </w:tcPr>
          <w:p w:rsidR="00B51BA4" w:rsidRPr="008A56CA" w:rsidRDefault="00B51BA4">
            <w:pPr>
              <w:jc w:val="right"/>
              <w:rPr>
                <w:rFonts w:ascii="Arial" w:hAnsi="Arial" w:cs="Arial"/>
                <w:b/>
                <w:bCs/>
                <w:sz w:val="12"/>
                <w:szCs w:val="12"/>
              </w:rPr>
            </w:pPr>
            <w:r w:rsidRPr="008A56CA">
              <w:rPr>
                <w:rFonts w:ascii="Arial" w:hAnsi="Arial" w:cs="Arial"/>
                <w:b/>
                <w:bCs/>
                <w:sz w:val="12"/>
                <w:szCs w:val="12"/>
              </w:rPr>
              <w:t>41 832</w:t>
            </w:r>
          </w:p>
        </w:tc>
        <w:tc>
          <w:tcPr>
            <w:tcW w:w="532" w:type="dxa"/>
            <w:gridSpan w:val="2"/>
            <w:tcBorders>
              <w:top w:val="nil"/>
              <w:left w:val="nil"/>
              <w:bottom w:val="single" w:sz="8" w:space="0" w:color="auto"/>
              <w:right w:val="single" w:sz="4" w:space="0" w:color="auto"/>
            </w:tcBorders>
            <w:shd w:val="clear" w:color="auto" w:fill="auto"/>
            <w:noWrap/>
            <w:vAlign w:val="bottom"/>
            <w:hideMark/>
          </w:tcPr>
          <w:p w:rsidR="00B51BA4" w:rsidRPr="008A56CA" w:rsidRDefault="00B51BA4">
            <w:pPr>
              <w:jc w:val="right"/>
              <w:rPr>
                <w:rFonts w:ascii="Arial" w:hAnsi="Arial" w:cs="Arial"/>
                <w:b/>
                <w:bCs/>
                <w:sz w:val="12"/>
                <w:szCs w:val="12"/>
              </w:rPr>
            </w:pPr>
            <w:r w:rsidRPr="008A56CA">
              <w:rPr>
                <w:rFonts w:ascii="Arial" w:hAnsi="Arial" w:cs="Arial"/>
                <w:b/>
                <w:bCs/>
                <w:sz w:val="12"/>
                <w:szCs w:val="12"/>
              </w:rPr>
              <w:t>44 397</w:t>
            </w:r>
          </w:p>
        </w:tc>
        <w:tc>
          <w:tcPr>
            <w:tcW w:w="532" w:type="dxa"/>
            <w:gridSpan w:val="2"/>
            <w:tcBorders>
              <w:top w:val="nil"/>
              <w:left w:val="nil"/>
              <w:bottom w:val="single" w:sz="8" w:space="0" w:color="auto"/>
              <w:right w:val="single" w:sz="4" w:space="0" w:color="auto"/>
            </w:tcBorders>
            <w:shd w:val="clear" w:color="auto" w:fill="auto"/>
            <w:noWrap/>
            <w:vAlign w:val="bottom"/>
            <w:hideMark/>
          </w:tcPr>
          <w:p w:rsidR="00B51BA4" w:rsidRPr="008A56CA" w:rsidRDefault="00B51BA4">
            <w:pPr>
              <w:jc w:val="right"/>
              <w:rPr>
                <w:rFonts w:ascii="Arial" w:hAnsi="Arial" w:cs="Arial"/>
                <w:b/>
                <w:bCs/>
                <w:sz w:val="12"/>
                <w:szCs w:val="12"/>
              </w:rPr>
            </w:pPr>
            <w:r w:rsidRPr="008A56CA">
              <w:rPr>
                <w:rFonts w:ascii="Arial" w:hAnsi="Arial" w:cs="Arial"/>
                <w:b/>
                <w:bCs/>
                <w:sz w:val="12"/>
                <w:szCs w:val="12"/>
              </w:rPr>
              <w:t>49 218</w:t>
            </w:r>
          </w:p>
        </w:tc>
        <w:tc>
          <w:tcPr>
            <w:tcW w:w="532" w:type="dxa"/>
            <w:gridSpan w:val="2"/>
            <w:tcBorders>
              <w:top w:val="nil"/>
              <w:left w:val="nil"/>
              <w:bottom w:val="single" w:sz="8" w:space="0" w:color="auto"/>
              <w:right w:val="single" w:sz="4" w:space="0" w:color="auto"/>
            </w:tcBorders>
            <w:shd w:val="clear" w:color="auto" w:fill="auto"/>
            <w:noWrap/>
            <w:vAlign w:val="bottom"/>
            <w:hideMark/>
          </w:tcPr>
          <w:p w:rsidR="00B51BA4" w:rsidRPr="008A56CA" w:rsidRDefault="00B51BA4">
            <w:pPr>
              <w:jc w:val="right"/>
              <w:rPr>
                <w:rFonts w:ascii="Arial" w:hAnsi="Arial" w:cs="Arial"/>
                <w:b/>
                <w:bCs/>
                <w:sz w:val="12"/>
                <w:szCs w:val="12"/>
              </w:rPr>
            </w:pPr>
            <w:r w:rsidRPr="008A56CA">
              <w:rPr>
                <w:rFonts w:ascii="Arial" w:hAnsi="Arial" w:cs="Arial"/>
                <w:b/>
                <w:bCs/>
                <w:sz w:val="12"/>
                <w:szCs w:val="12"/>
              </w:rPr>
              <w:t>40 252</w:t>
            </w:r>
          </w:p>
        </w:tc>
        <w:tc>
          <w:tcPr>
            <w:tcW w:w="532" w:type="dxa"/>
            <w:tcBorders>
              <w:top w:val="nil"/>
              <w:left w:val="nil"/>
              <w:bottom w:val="single" w:sz="8" w:space="0" w:color="auto"/>
              <w:right w:val="single" w:sz="4" w:space="0" w:color="auto"/>
            </w:tcBorders>
            <w:shd w:val="clear" w:color="auto" w:fill="auto"/>
            <w:noWrap/>
            <w:vAlign w:val="bottom"/>
            <w:hideMark/>
          </w:tcPr>
          <w:p w:rsidR="00B51BA4" w:rsidRPr="008A56CA" w:rsidRDefault="00B51BA4">
            <w:pPr>
              <w:jc w:val="right"/>
              <w:rPr>
                <w:rFonts w:ascii="Arial" w:hAnsi="Arial" w:cs="Arial"/>
                <w:b/>
                <w:bCs/>
                <w:sz w:val="12"/>
                <w:szCs w:val="12"/>
              </w:rPr>
            </w:pPr>
            <w:r w:rsidRPr="008A56CA">
              <w:rPr>
                <w:rFonts w:ascii="Arial" w:hAnsi="Arial" w:cs="Arial"/>
                <w:b/>
                <w:bCs/>
                <w:sz w:val="12"/>
                <w:szCs w:val="12"/>
              </w:rPr>
              <w:t>42 974</w:t>
            </w:r>
          </w:p>
        </w:tc>
        <w:tc>
          <w:tcPr>
            <w:tcW w:w="532" w:type="dxa"/>
            <w:gridSpan w:val="2"/>
            <w:tcBorders>
              <w:top w:val="nil"/>
              <w:left w:val="nil"/>
              <w:bottom w:val="single" w:sz="8" w:space="0" w:color="auto"/>
              <w:right w:val="single" w:sz="4" w:space="0" w:color="auto"/>
            </w:tcBorders>
            <w:shd w:val="clear" w:color="auto" w:fill="auto"/>
            <w:noWrap/>
            <w:vAlign w:val="bottom"/>
            <w:hideMark/>
          </w:tcPr>
          <w:p w:rsidR="00B51BA4" w:rsidRPr="008A56CA" w:rsidRDefault="00B51BA4">
            <w:pPr>
              <w:jc w:val="right"/>
              <w:rPr>
                <w:rFonts w:ascii="Arial" w:hAnsi="Arial" w:cs="Arial"/>
                <w:b/>
                <w:bCs/>
                <w:sz w:val="12"/>
                <w:szCs w:val="12"/>
              </w:rPr>
            </w:pPr>
            <w:r w:rsidRPr="008A56CA">
              <w:rPr>
                <w:rFonts w:ascii="Arial" w:hAnsi="Arial" w:cs="Arial"/>
                <w:b/>
                <w:bCs/>
                <w:sz w:val="12"/>
                <w:szCs w:val="12"/>
              </w:rPr>
              <w:t>42 809</w:t>
            </w:r>
          </w:p>
        </w:tc>
        <w:tc>
          <w:tcPr>
            <w:tcW w:w="532" w:type="dxa"/>
            <w:gridSpan w:val="2"/>
            <w:tcBorders>
              <w:top w:val="nil"/>
              <w:left w:val="nil"/>
              <w:bottom w:val="single" w:sz="8" w:space="0" w:color="auto"/>
              <w:right w:val="single" w:sz="4" w:space="0" w:color="auto"/>
            </w:tcBorders>
            <w:shd w:val="clear" w:color="auto" w:fill="auto"/>
            <w:noWrap/>
            <w:vAlign w:val="bottom"/>
            <w:hideMark/>
          </w:tcPr>
          <w:p w:rsidR="00B51BA4" w:rsidRPr="008A56CA" w:rsidRDefault="00B51BA4">
            <w:pPr>
              <w:jc w:val="right"/>
              <w:rPr>
                <w:rFonts w:ascii="Arial" w:hAnsi="Arial" w:cs="Arial"/>
                <w:b/>
                <w:bCs/>
                <w:sz w:val="12"/>
                <w:szCs w:val="12"/>
              </w:rPr>
            </w:pPr>
            <w:r w:rsidRPr="008A56CA">
              <w:rPr>
                <w:rFonts w:ascii="Arial" w:hAnsi="Arial" w:cs="Arial"/>
                <w:b/>
                <w:bCs/>
                <w:sz w:val="12"/>
                <w:szCs w:val="12"/>
              </w:rPr>
              <w:t>43 331</w:t>
            </w:r>
          </w:p>
        </w:tc>
        <w:tc>
          <w:tcPr>
            <w:tcW w:w="532" w:type="dxa"/>
            <w:gridSpan w:val="2"/>
            <w:tcBorders>
              <w:top w:val="nil"/>
              <w:left w:val="nil"/>
              <w:bottom w:val="single" w:sz="8" w:space="0" w:color="auto"/>
              <w:right w:val="single" w:sz="4" w:space="0" w:color="auto"/>
            </w:tcBorders>
            <w:shd w:val="clear" w:color="auto" w:fill="auto"/>
            <w:noWrap/>
            <w:vAlign w:val="bottom"/>
            <w:hideMark/>
          </w:tcPr>
          <w:p w:rsidR="00B51BA4" w:rsidRPr="008A56CA" w:rsidRDefault="00B51BA4">
            <w:pPr>
              <w:jc w:val="right"/>
              <w:rPr>
                <w:rFonts w:ascii="Arial" w:hAnsi="Arial" w:cs="Arial"/>
                <w:b/>
                <w:bCs/>
                <w:sz w:val="12"/>
                <w:szCs w:val="12"/>
              </w:rPr>
            </w:pPr>
            <w:r w:rsidRPr="008A56CA">
              <w:rPr>
                <w:rFonts w:ascii="Arial" w:hAnsi="Arial" w:cs="Arial"/>
                <w:b/>
                <w:bCs/>
                <w:sz w:val="12"/>
                <w:szCs w:val="12"/>
              </w:rPr>
              <w:t>56 592</w:t>
            </w:r>
          </w:p>
        </w:tc>
        <w:tc>
          <w:tcPr>
            <w:tcW w:w="532" w:type="dxa"/>
            <w:gridSpan w:val="2"/>
            <w:tcBorders>
              <w:top w:val="nil"/>
              <w:left w:val="nil"/>
              <w:bottom w:val="single" w:sz="8" w:space="0" w:color="auto"/>
              <w:right w:val="single" w:sz="4" w:space="0" w:color="auto"/>
            </w:tcBorders>
            <w:shd w:val="clear" w:color="auto" w:fill="auto"/>
            <w:noWrap/>
            <w:vAlign w:val="bottom"/>
            <w:hideMark/>
          </w:tcPr>
          <w:p w:rsidR="00B51BA4" w:rsidRPr="008A56CA" w:rsidRDefault="00B51BA4">
            <w:pPr>
              <w:jc w:val="right"/>
              <w:rPr>
                <w:rFonts w:ascii="Arial" w:hAnsi="Arial" w:cs="Arial"/>
                <w:b/>
                <w:bCs/>
                <w:sz w:val="12"/>
                <w:szCs w:val="12"/>
              </w:rPr>
            </w:pPr>
            <w:r w:rsidRPr="008A56CA">
              <w:rPr>
                <w:rFonts w:ascii="Arial" w:hAnsi="Arial" w:cs="Arial"/>
                <w:b/>
                <w:bCs/>
                <w:sz w:val="12"/>
                <w:szCs w:val="12"/>
              </w:rPr>
              <w:t>61 084</w:t>
            </w:r>
          </w:p>
        </w:tc>
        <w:tc>
          <w:tcPr>
            <w:tcW w:w="532" w:type="dxa"/>
            <w:gridSpan w:val="2"/>
            <w:tcBorders>
              <w:top w:val="nil"/>
              <w:left w:val="nil"/>
              <w:bottom w:val="single" w:sz="8" w:space="0" w:color="auto"/>
              <w:right w:val="single" w:sz="4" w:space="0" w:color="auto"/>
            </w:tcBorders>
            <w:shd w:val="clear" w:color="auto" w:fill="auto"/>
            <w:noWrap/>
            <w:vAlign w:val="bottom"/>
            <w:hideMark/>
          </w:tcPr>
          <w:p w:rsidR="00B51BA4" w:rsidRPr="008A56CA" w:rsidRDefault="00B51BA4">
            <w:pPr>
              <w:jc w:val="right"/>
              <w:rPr>
                <w:rFonts w:ascii="Arial" w:hAnsi="Arial" w:cs="Arial"/>
                <w:b/>
                <w:bCs/>
                <w:sz w:val="12"/>
                <w:szCs w:val="12"/>
              </w:rPr>
            </w:pPr>
            <w:r w:rsidRPr="008A56CA">
              <w:rPr>
                <w:rFonts w:ascii="Arial" w:hAnsi="Arial" w:cs="Arial"/>
                <w:b/>
                <w:bCs/>
                <w:sz w:val="12"/>
                <w:szCs w:val="12"/>
              </w:rPr>
              <w:t>61 439</w:t>
            </w:r>
          </w:p>
        </w:tc>
        <w:tc>
          <w:tcPr>
            <w:tcW w:w="532" w:type="dxa"/>
            <w:tcBorders>
              <w:top w:val="nil"/>
              <w:left w:val="nil"/>
              <w:bottom w:val="single" w:sz="8" w:space="0" w:color="auto"/>
              <w:right w:val="single" w:sz="4" w:space="0" w:color="auto"/>
            </w:tcBorders>
            <w:shd w:val="clear" w:color="auto" w:fill="auto"/>
            <w:noWrap/>
            <w:vAlign w:val="bottom"/>
            <w:hideMark/>
          </w:tcPr>
          <w:p w:rsidR="00B51BA4" w:rsidRPr="008A56CA" w:rsidRDefault="00B51BA4">
            <w:pPr>
              <w:jc w:val="right"/>
              <w:rPr>
                <w:rFonts w:ascii="Arial" w:hAnsi="Arial" w:cs="Arial"/>
                <w:b/>
                <w:bCs/>
                <w:sz w:val="12"/>
                <w:szCs w:val="12"/>
              </w:rPr>
            </w:pPr>
            <w:r w:rsidRPr="008A56CA">
              <w:rPr>
                <w:rFonts w:ascii="Arial" w:hAnsi="Arial" w:cs="Arial"/>
                <w:b/>
                <w:bCs/>
                <w:sz w:val="12"/>
                <w:szCs w:val="12"/>
              </w:rPr>
              <w:t>66 132</w:t>
            </w:r>
          </w:p>
        </w:tc>
        <w:tc>
          <w:tcPr>
            <w:tcW w:w="532" w:type="dxa"/>
            <w:gridSpan w:val="2"/>
            <w:tcBorders>
              <w:top w:val="nil"/>
              <w:left w:val="nil"/>
              <w:bottom w:val="single" w:sz="8" w:space="0" w:color="auto"/>
              <w:right w:val="single" w:sz="4" w:space="0" w:color="auto"/>
            </w:tcBorders>
            <w:shd w:val="clear" w:color="auto" w:fill="auto"/>
            <w:noWrap/>
            <w:vAlign w:val="bottom"/>
            <w:hideMark/>
          </w:tcPr>
          <w:p w:rsidR="00B51BA4" w:rsidRPr="008A56CA" w:rsidRDefault="00B51BA4">
            <w:pPr>
              <w:jc w:val="right"/>
              <w:rPr>
                <w:rFonts w:ascii="Arial" w:hAnsi="Arial" w:cs="Arial"/>
                <w:b/>
                <w:bCs/>
                <w:sz w:val="12"/>
                <w:szCs w:val="12"/>
              </w:rPr>
            </w:pPr>
            <w:r w:rsidRPr="008A56CA">
              <w:rPr>
                <w:rFonts w:ascii="Arial" w:hAnsi="Arial" w:cs="Arial"/>
                <w:b/>
                <w:bCs/>
                <w:sz w:val="12"/>
                <w:szCs w:val="12"/>
              </w:rPr>
              <w:t>70 933</w:t>
            </w:r>
          </w:p>
        </w:tc>
        <w:tc>
          <w:tcPr>
            <w:tcW w:w="655" w:type="dxa"/>
            <w:gridSpan w:val="2"/>
            <w:tcBorders>
              <w:top w:val="nil"/>
              <w:left w:val="nil"/>
              <w:bottom w:val="single" w:sz="8" w:space="0" w:color="auto"/>
              <w:right w:val="single" w:sz="4" w:space="0" w:color="auto"/>
            </w:tcBorders>
            <w:shd w:val="clear" w:color="000000" w:fill="FFFF00"/>
            <w:noWrap/>
            <w:vAlign w:val="bottom"/>
            <w:hideMark/>
          </w:tcPr>
          <w:p w:rsidR="00B51BA4" w:rsidRPr="008A56CA" w:rsidRDefault="00B51BA4" w:rsidP="00742E30">
            <w:pPr>
              <w:jc w:val="right"/>
              <w:rPr>
                <w:rFonts w:ascii="Arial" w:hAnsi="Arial" w:cs="Arial"/>
                <w:b/>
                <w:bCs/>
                <w:sz w:val="12"/>
                <w:szCs w:val="12"/>
              </w:rPr>
            </w:pPr>
            <w:r w:rsidRPr="008A56CA">
              <w:rPr>
                <w:rFonts w:ascii="Arial" w:hAnsi="Arial" w:cs="Arial"/>
                <w:b/>
                <w:bCs/>
                <w:sz w:val="12"/>
                <w:szCs w:val="12"/>
              </w:rPr>
              <w:t xml:space="preserve">75 </w:t>
            </w:r>
            <w:r w:rsidR="00742E30">
              <w:rPr>
                <w:rFonts w:ascii="Arial" w:hAnsi="Arial" w:cs="Arial"/>
                <w:b/>
                <w:bCs/>
                <w:sz w:val="12"/>
                <w:szCs w:val="12"/>
              </w:rPr>
              <w:t>5</w:t>
            </w:r>
            <w:r w:rsidRPr="008A56CA">
              <w:rPr>
                <w:rFonts w:ascii="Arial" w:hAnsi="Arial" w:cs="Arial"/>
                <w:b/>
                <w:bCs/>
                <w:sz w:val="12"/>
                <w:szCs w:val="12"/>
              </w:rPr>
              <w:t>00</w:t>
            </w:r>
          </w:p>
        </w:tc>
        <w:tc>
          <w:tcPr>
            <w:tcW w:w="636" w:type="dxa"/>
            <w:gridSpan w:val="2"/>
            <w:vAlign w:val="center"/>
            <w:hideMark/>
          </w:tcPr>
          <w:p w:rsidR="00B51BA4" w:rsidRDefault="00B51BA4">
            <w:pPr>
              <w:rPr>
                <w:sz w:val="20"/>
                <w:szCs w:val="20"/>
              </w:rPr>
            </w:pPr>
          </w:p>
        </w:tc>
        <w:tc>
          <w:tcPr>
            <w:tcW w:w="636" w:type="dxa"/>
            <w:gridSpan w:val="2"/>
            <w:vAlign w:val="center"/>
            <w:hideMark/>
          </w:tcPr>
          <w:p w:rsidR="00B51BA4" w:rsidRDefault="00B51BA4">
            <w:pPr>
              <w:rPr>
                <w:sz w:val="20"/>
                <w:szCs w:val="20"/>
              </w:rPr>
            </w:pPr>
          </w:p>
        </w:tc>
      </w:tr>
      <w:tr w:rsidR="00B51BA4" w:rsidTr="00742E30">
        <w:trPr>
          <w:gridAfter w:val="1"/>
          <w:wAfter w:w="145" w:type="dxa"/>
          <w:trHeight w:val="255"/>
        </w:trPr>
        <w:tc>
          <w:tcPr>
            <w:tcW w:w="1744"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bl>
            <w:tblPr>
              <w:tblW w:w="0" w:type="auto"/>
              <w:tblCellSpacing w:w="0" w:type="dxa"/>
              <w:tblCellMar>
                <w:left w:w="0" w:type="dxa"/>
                <w:right w:w="0" w:type="dxa"/>
              </w:tblCellMar>
              <w:tblLook w:val="04A0" w:firstRow="1" w:lastRow="0" w:firstColumn="1" w:lastColumn="0" w:noHBand="0" w:noVBand="1"/>
            </w:tblPr>
            <w:tblGrid>
              <w:gridCol w:w="1480"/>
            </w:tblGrid>
            <w:tr w:rsidR="00B51BA4" w:rsidTr="00742E30">
              <w:trPr>
                <w:trHeight w:val="321"/>
                <w:tblCellSpacing w:w="0" w:type="dxa"/>
              </w:trPr>
              <w:tc>
                <w:tcPr>
                  <w:tcW w:w="1480"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r>
          </w:tbl>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gridSpan w:val="2"/>
            <w:vAlign w:val="center"/>
            <w:hideMark/>
          </w:tcPr>
          <w:p w:rsidR="00B51BA4" w:rsidRDefault="00B51BA4">
            <w:pPr>
              <w:rPr>
                <w:sz w:val="20"/>
                <w:szCs w:val="20"/>
              </w:rPr>
            </w:pPr>
          </w:p>
        </w:tc>
        <w:tc>
          <w:tcPr>
            <w:tcW w:w="636" w:type="dxa"/>
            <w:gridSpan w:val="2"/>
            <w:vAlign w:val="center"/>
            <w:hideMark/>
          </w:tcPr>
          <w:p w:rsidR="00B51BA4" w:rsidRDefault="00B51BA4">
            <w:pPr>
              <w:rPr>
                <w:sz w:val="20"/>
                <w:szCs w:val="20"/>
              </w:rPr>
            </w:pPr>
          </w:p>
        </w:tc>
      </w:tr>
      <w:tr w:rsidR="00B51BA4" w:rsidTr="00742E30">
        <w:trPr>
          <w:gridAfter w:val="1"/>
          <w:wAfter w:w="145" w:type="dxa"/>
          <w:trHeight w:val="255"/>
        </w:trPr>
        <w:tc>
          <w:tcPr>
            <w:tcW w:w="1744"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w:hAnsi="Arial" w:cs="Arial"/>
                <w:sz w:val="16"/>
                <w:szCs w:val="16"/>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gridSpan w:val="2"/>
            <w:vAlign w:val="center"/>
            <w:hideMark/>
          </w:tcPr>
          <w:p w:rsidR="00B51BA4" w:rsidRDefault="00B51BA4">
            <w:pPr>
              <w:rPr>
                <w:sz w:val="20"/>
                <w:szCs w:val="20"/>
              </w:rPr>
            </w:pPr>
          </w:p>
        </w:tc>
        <w:tc>
          <w:tcPr>
            <w:tcW w:w="636" w:type="dxa"/>
            <w:gridSpan w:val="2"/>
            <w:vAlign w:val="center"/>
            <w:hideMark/>
          </w:tcPr>
          <w:p w:rsidR="00B51BA4" w:rsidRDefault="00B51BA4">
            <w:pPr>
              <w:rPr>
                <w:sz w:val="20"/>
                <w:szCs w:val="20"/>
              </w:rPr>
            </w:pPr>
          </w:p>
        </w:tc>
      </w:tr>
      <w:tr w:rsidR="00B51BA4" w:rsidTr="00742E30">
        <w:trPr>
          <w:gridAfter w:val="1"/>
          <w:wAfter w:w="145" w:type="dxa"/>
          <w:trHeight w:val="255"/>
        </w:trPr>
        <w:tc>
          <w:tcPr>
            <w:tcW w:w="1744" w:type="dxa"/>
            <w:gridSpan w:val="2"/>
            <w:tcBorders>
              <w:top w:val="nil"/>
              <w:left w:val="nil"/>
              <w:bottom w:val="nil"/>
              <w:right w:val="nil"/>
            </w:tcBorders>
            <w:shd w:val="clear" w:color="auto" w:fill="auto"/>
            <w:noWrap/>
            <w:vAlign w:val="bottom"/>
            <w:hideMark/>
          </w:tcPr>
          <w:p w:rsidR="00B51BA4" w:rsidRDefault="00742E30">
            <w:pPr>
              <w:rPr>
                <w:rFonts w:ascii="Arial CE" w:hAnsi="Arial CE" w:cs="Arial CE"/>
                <w:sz w:val="20"/>
                <w:szCs w:val="20"/>
              </w:rPr>
            </w:pPr>
            <w:r>
              <w:rPr>
                <w:rFonts w:ascii="Arial CE" w:hAnsi="Arial CE" w:cs="Arial CE"/>
                <w:noProof/>
                <w:sz w:val="20"/>
                <w:szCs w:val="20"/>
              </w:rPr>
              <w:drawing>
                <wp:anchor distT="0" distB="0" distL="114300" distR="114300" simplePos="0" relativeHeight="251659264" behindDoc="0" locked="0" layoutInCell="1" allowOverlap="1" wp14:anchorId="163D2986" wp14:editId="436EC1D6">
                  <wp:simplePos x="0" y="0"/>
                  <wp:positionH relativeFrom="column">
                    <wp:posOffset>-50165</wp:posOffset>
                  </wp:positionH>
                  <wp:positionV relativeFrom="paragraph">
                    <wp:posOffset>66675</wp:posOffset>
                  </wp:positionV>
                  <wp:extent cx="6353175" cy="5657850"/>
                  <wp:effectExtent l="0" t="0" r="28575" b="38100"/>
                  <wp:wrapNone/>
                  <wp:docPr id="3" name="Graf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gridSpan w:val="2"/>
            <w:vAlign w:val="center"/>
            <w:hideMark/>
          </w:tcPr>
          <w:p w:rsidR="00B51BA4" w:rsidRDefault="00B51BA4">
            <w:pPr>
              <w:rPr>
                <w:sz w:val="20"/>
                <w:szCs w:val="20"/>
              </w:rPr>
            </w:pPr>
          </w:p>
        </w:tc>
        <w:tc>
          <w:tcPr>
            <w:tcW w:w="636" w:type="dxa"/>
            <w:gridSpan w:val="2"/>
            <w:vAlign w:val="center"/>
            <w:hideMark/>
          </w:tcPr>
          <w:p w:rsidR="00B51BA4" w:rsidRDefault="00B51BA4">
            <w:pPr>
              <w:rPr>
                <w:sz w:val="20"/>
                <w:szCs w:val="20"/>
              </w:rPr>
            </w:pPr>
          </w:p>
        </w:tc>
      </w:tr>
      <w:tr w:rsidR="00B51BA4" w:rsidTr="00742E30">
        <w:trPr>
          <w:gridAfter w:val="1"/>
          <w:wAfter w:w="145" w:type="dxa"/>
          <w:trHeight w:val="255"/>
        </w:trPr>
        <w:tc>
          <w:tcPr>
            <w:tcW w:w="1744"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gridSpan w:val="2"/>
            <w:vAlign w:val="center"/>
            <w:hideMark/>
          </w:tcPr>
          <w:p w:rsidR="00B51BA4" w:rsidRDefault="00B51BA4">
            <w:pPr>
              <w:rPr>
                <w:sz w:val="20"/>
                <w:szCs w:val="20"/>
              </w:rPr>
            </w:pPr>
          </w:p>
        </w:tc>
        <w:tc>
          <w:tcPr>
            <w:tcW w:w="636" w:type="dxa"/>
            <w:gridSpan w:val="2"/>
            <w:vAlign w:val="center"/>
            <w:hideMark/>
          </w:tcPr>
          <w:p w:rsidR="00B51BA4" w:rsidRDefault="00B51BA4">
            <w:pPr>
              <w:rPr>
                <w:sz w:val="20"/>
                <w:szCs w:val="20"/>
              </w:rPr>
            </w:pPr>
          </w:p>
        </w:tc>
      </w:tr>
      <w:tr w:rsidR="00B51BA4" w:rsidTr="00742E30">
        <w:trPr>
          <w:gridAfter w:val="1"/>
          <w:wAfter w:w="145" w:type="dxa"/>
          <w:trHeight w:val="255"/>
        </w:trPr>
        <w:tc>
          <w:tcPr>
            <w:tcW w:w="1744"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gridSpan w:val="2"/>
            <w:vAlign w:val="center"/>
            <w:hideMark/>
          </w:tcPr>
          <w:p w:rsidR="00B51BA4" w:rsidRDefault="00B51BA4">
            <w:pPr>
              <w:rPr>
                <w:sz w:val="20"/>
                <w:szCs w:val="20"/>
              </w:rPr>
            </w:pPr>
          </w:p>
        </w:tc>
        <w:tc>
          <w:tcPr>
            <w:tcW w:w="636" w:type="dxa"/>
            <w:gridSpan w:val="2"/>
            <w:vAlign w:val="center"/>
            <w:hideMark/>
          </w:tcPr>
          <w:p w:rsidR="00B51BA4" w:rsidRDefault="00B51BA4">
            <w:pPr>
              <w:rPr>
                <w:sz w:val="20"/>
                <w:szCs w:val="20"/>
              </w:rPr>
            </w:pPr>
          </w:p>
        </w:tc>
      </w:tr>
      <w:tr w:rsidR="00B51BA4" w:rsidTr="00742E30">
        <w:trPr>
          <w:gridAfter w:val="1"/>
          <w:wAfter w:w="145" w:type="dxa"/>
          <w:trHeight w:val="255"/>
        </w:trPr>
        <w:tc>
          <w:tcPr>
            <w:tcW w:w="1744"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gridSpan w:val="2"/>
            <w:vAlign w:val="center"/>
            <w:hideMark/>
          </w:tcPr>
          <w:p w:rsidR="00B51BA4" w:rsidRDefault="00B51BA4">
            <w:pPr>
              <w:rPr>
                <w:sz w:val="20"/>
                <w:szCs w:val="20"/>
              </w:rPr>
            </w:pPr>
          </w:p>
        </w:tc>
        <w:tc>
          <w:tcPr>
            <w:tcW w:w="636" w:type="dxa"/>
            <w:gridSpan w:val="2"/>
            <w:vAlign w:val="center"/>
            <w:hideMark/>
          </w:tcPr>
          <w:p w:rsidR="00B51BA4" w:rsidRDefault="00B51BA4">
            <w:pPr>
              <w:rPr>
                <w:sz w:val="20"/>
                <w:szCs w:val="20"/>
              </w:rPr>
            </w:pPr>
          </w:p>
        </w:tc>
      </w:tr>
      <w:tr w:rsidR="00B51BA4" w:rsidTr="00742E30">
        <w:trPr>
          <w:gridAfter w:val="1"/>
          <w:wAfter w:w="145" w:type="dxa"/>
          <w:trHeight w:val="255"/>
        </w:trPr>
        <w:tc>
          <w:tcPr>
            <w:tcW w:w="1744"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gridSpan w:val="2"/>
            <w:vAlign w:val="center"/>
            <w:hideMark/>
          </w:tcPr>
          <w:p w:rsidR="00B51BA4" w:rsidRDefault="00B51BA4">
            <w:pPr>
              <w:rPr>
                <w:sz w:val="20"/>
                <w:szCs w:val="20"/>
              </w:rPr>
            </w:pPr>
          </w:p>
        </w:tc>
        <w:tc>
          <w:tcPr>
            <w:tcW w:w="636" w:type="dxa"/>
            <w:gridSpan w:val="2"/>
            <w:vAlign w:val="center"/>
            <w:hideMark/>
          </w:tcPr>
          <w:p w:rsidR="00B51BA4" w:rsidRDefault="00B51BA4">
            <w:pPr>
              <w:rPr>
                <w:sz w:val="20"/>
                <w:szCs w:val="20"/>
              </w:rPr>
            </w:pPr>
          </w:p>
        </w:tc>
      </w:tr>
      <w:tr w:rsidR="00B51BA4" w:rsidTr="00742E30">
        <w:trPr>
          <w:gridAfter w:val="1"/>
          <w:wAfter w:w="145" w:type="dxa"/>
          <w:trHeight w:val="255"/>
        </w:trPr>
        <w:tc>
          <w:tcPr>
            <w:tcW w:w="1744"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gridSpan w:val="2"/>
            <w:vAlign w:val="center"/>
            <w:hideMark/>
          </w:tcPr>
          <w:p w:rsidR="00B51BA4" w:rsidRDefault="00B51BA4">
            <w:pPr>
              <w:rPr>
                <w:sz w:val="20"/>
                <w:szCs w:val="20"/>
              </w:rPr>
            </w:pPr>
          </w:p>
        </w:tc>
        <w:tc>
          <w:tcPr>
            <w:tcW w:w="636" w:type="dxa"/>
            <w:gridSpan w:val="2"/>
            <w:vAlign w:val="center"/>
            <w:hideMark/>
          </w:tcPr>
          <w:p w:rsidR="00B51BA4" w:rsidRDefault="00B51BA4">
            <w:pPr>
              <w:rPr>
                <w:sz w:val="20"/>
                <w:szCs w:val="20"/>
              </w:rPr>
            </w:pPr>
          </w:p>
        </w:tc>
      </w:tr>
      <w:tr w:rsidR="00B51BA4" w:rsidTr="00742E30">
        <w:trPr>
          <w:gridAfter w:val="1"/>
          <w:wAfter w:w="145" w:type="dxa"/>
          <w:trHeight w:val="255"/>
        </w:trPr>
        <w:tc>
          <w:tcPr>
            <w:tcW w:w="1744"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gridSpan w:val="2"/>
            <w:vAlign w:val="center"/>
            <w:hideMark/>
          </w:tcPr>
          <w:p w:rsidR="00B51BA4" w:rsidRDefault="00B51BA4">
            <w:pPr>
              <w:rPr>
                <w:sz w:val="20"/>
                <w:szCs w:val="20"/>
              </w:rPr>
            </w:pPr>
          </w:p>
        </w:tc>
        <w:tc>
          <w:tcPr>
            <w:tcW w:w="636" w:type="dxa"/>
            <w:gridSpan w:val="2"/>
            <w:vAlign w:val="center"/>
            <w:hideMark/>
          </w:tcPr>
          <w:p w:rsidR="00B51BA4" w:rsidRDefault="00B51BA4">
            <w:pPr>
              <w:rPr>
                <w:sz w:val="20"/>
                <w:szCs w:val="20"/>
              </w:rPr>
            </w:pPr>
          </w:p>
        </w:tc>
      </w:tr>
      <w:tr w:rsidR="00B51BA4" w:rsidTr="00742E30">
        <w:trPr>
          <w:gridAfter w:val="1"/>
          <w:wAfter w:w="145" w:type="dxa"/>
          <w:trHeight w:val="255"/>
        </w:trPr>
        <w:tc>
          <w:tcPr>
            <w:tcW w:w="1744"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gridSpan w:val="2"/>
            <w:vAlign w:val="center"/>
            <w:hideMark/>
          </w:tcPr>
          <w:p w:rsidR="00B51BA4" w:rsidRDefault="00B51BA4">
            <w:pPr>
              <w:rPr>
                <w:sz w:val="20"/>
                <w:szCs w:val="20"/>
              </w:rPr>
            </w:pPr>
          </w:p>
        </w:tc>
        <w:tc>
          <w:tcPr>
            <w:tcW w:w="636" w:type="dxa"/>
            <w:gridSpan w:val="2"/>
            <w:vAlign w:val="center"/>
            <w:hideMark/>
          </w:tcPr>
          <w:p w:rsidR="00B51BA4" w:rsidRDefault="00B51BA4">
            <w:pPr>
              <w:rPr>
                <w:sz w:val="20"/>
                <w:szCs w:val="20"/>
              </w:rPr>
            </w:pPr>
          </w:p>
        </w:tc>
      </w:tr>
      <w:tr w:rsidR="00B51BA4" w:rsidTr="00742E30">
        <w:trPr>
          <w:gridAfter w:val="1"/>
          <w:wAfter w:w="145" w:type="dxa"/>
          <w:trHeight w:val="255"/>
        </w:trPr>
        <w:tc>
          <w:tcPr>
            <w:tcW w:w="1744"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gridSpan w:val="2"/>
            <w:vAlign w:val="center"/>
            <w:hideMark/>
          </w:tcPr>
          <w:p w:rsidR="00B51BA4" w:rsidRDefault="00B51BA4">
            <w:pPr>
              <w:rPr>
                <w:sz w:val="20"/>
                <w:szCs w:val="20"/>
              </w:rPr>
            </w:pPr>
          </w:p>
        </w:tc>
        <w:tc>
          <w:tcPr>
            <w:tcW w:w="636" w:type="dxa"/>
            <w:gridSpan w:val="2"/>
            <w:vAlign w:val="center"/>
            <w:hideMark/>
          </w:tcPr>
          <w:p w:rsidR="00B51BA4" w:rsidRDefault="00B51BA4">
            <w:pPr>
              <w:rPr>
                <w:sz w:val="20"/>
                <w:szCs w:val="20"/>
              </w:rPr>
            </w:pPr>
          </w:p>
        </w:tc>
      </w:tr>
      <w:tr w:rsidR="00B51BA4" w:rsidTr="00742E30">
        <w:trPr>
          <w:gridAfter w:val="1"/>
          <w:wAfter w:w="145" w:type="dxa"/>
          <w:trHeight w:val="255"/>
        </w:trPr>
        <w:tc>
          <w:tcPr>
            <w:tcW w:w="1744"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gridSpan w:val="2"/>
            <w:vAlign w:val="center"/>
            <w:hideMark/>
          </w:tcPr>
          <w:p w:rsidR="00B51BA4" w:rsidRDefault="00B51BA4">
            <w:pPr>
              <w:rPr>
                <w:sz w:val="20"/>
                <w:szCs w:val="20"/>
              </w:rPr>
            </w:pPr>
          </w:p>
        </w:tc>
        <w:tc>
          <w:tcPr>
            <w:tcW w:w="636" w:type="dxa"/>
            <w:gridSpan w:val="2"/>
            <w:vAlign w:val="center"/>
            <w:hideMark/>
          </w:tcPr>
          <w:p w:rsidR="00B51BA4" w:rsidRDefault="00B51BA4">
            <w:pPr>
              <w:rPr>
                <w:sz w:val="20"/>
                <w:szCs w:val="20"/>
              </w:rPr>
            </w:pPr>
          </w:p>
        </w:tc>
      </w:tr>
      <w:tr w:rsidR="00B51BA4" w:rsidTr="00742E30">
        <w:trPr>
          <w:gridAfter w:val="1"/>
          <w:wAfter w:w="145" w:type="dxa"/>
          <w:trHeight w:val="255"/>
        </w:trPr>
        <w:tc>
          <w:tcPr>
            <w:tcW w:w="1744"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gridSpan w:val="2"/>
            <w:vAlign w:val="center"/>
            <w:hideMark/>
          </w:tcPr>
          <w:p w:rsidR="00B51BA4" w:rsidRDefault="00B51BA4">
            <w:pPr>
              <w:rPr>
                <w:sz w:val="20"/>
                <w:szCs w:val="20"/>
              </w:rPr>
            </w:pPr>
          </w:p>
        </w:tc>
        <w:tc>
          <w:tcPr>
            <w:tcW w:w="636" w:type="dxa"/>
            <w:gridSpan w:val="2"/>
            <w:vAlign w:val="center"/>
            <w:hideMark/>
          </w:tcPr>
          <w:p w:rsidR="00B51BA4" w:rsidRDefault="00B51BA4">
            <w:pPr>
              <w:rPr>
                <w:sz w:val="20"/>
                <w:szCs w:val="20"/>
              </w:rPr>
            </w:pPr>
          </w:p>
        </w:tc>
      </w:tr>
      <w:tr w:rsidR="00B51BA4" w:rsidTr="00742E30">
        <w:trPr>
          <w:gridAfter w:val="1"/>
          <w:wAfter w:w="145" w:type="dxa"/>
          <w:trHeight w:val="255"/>
        </w:trPr>
        <w:tc>
          <w:tcPr>
            <w:tcW w:w="1744"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gridSpan w:val="2"/>
            <w:vAlign w:val="center"/>
            <w:hideMark/>
          </w:tcPr>
          <w:p w:rsidR="00B51BA4" w:rsidRDefault="00B51BA4">
            <w:pPr>
              <w:rPr>
                <w:sz w:val="20"/>
                <w:szCs w:val="20"/>
              </w:rPr>
            </w:pPr>
          </w:p>
        </w:tc>
        <w:tc>
          <w:tcPr>
            <w:tcW w:w="636" w:type="dxa"/>
            <w:gridSpan w:val="2"/>
            <w:vAlign w:val="center"/>
            <w:hideMark/>
          </w:tcPr>
          <w:p w:rsidR="00B51BA4" w:rsidRDefault="00B51BA4">
            <w:pPr>
              <w:rPr>
                <w:sz w:val="20"/>
                <w:szCs w:val="20"/>
              </w:rPr>
            </w:pPr>
          </w:p>
        </w:tc>
      </w:tr>
      <w:tr w:rsidR="00B51BA4" w:rsidTr="00742E30">
        <w:trPr>
          <w:gridAfter w:val="1"/>
          <w:wAfter w:w="145" w:type="dxa"/>
          <w:trHeight w:val="255"/>
        </w:trPr>
        <w:tc>
          <w:tcPr>
            <w:tcW w:w="1744"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gridSpan w:val="2"/>
            <w:vAlign w:val="center"/>
            <w:hideMark/>
          </w:tcPr>
          <w:p w:rsidR="00B51BA4" w:rsidRDefault="00B51BA4">
            <w:pPr>
              <w:rPr>
                <w:sz w:val="20"/>
                <w:szCs w:val="20"/>
              </w:rPr>
            </w:pPr>
          </w:p>
        </w:tc>
        <w:tc>
          <w:tcPr>
            <w:tcW w:w="636" w:type="dxa"/>
            <w:gridSpan w:val="2"/>
            <w:vAlign w:val="center"/>
            <w:hideMark/>
          </w:tcPr>
          <w:p w:rsidR="00B51BA4" w:rsidRDefault="00B51BA4">
            <w:pPr>
              <w:rPr>
                <w:sz w:val="20"/>
                <w:szCs w:val="20"/>
              </w:rPr>
            </w:pPr>
          </w:p>
        </w:tc>
      </w:tr>
      <w:tr w:rsidR="00B51BA4" w:rsidTr="00742E30">
        <w:trPr>
          <w:gridAfter w:val="1"/>
          <w:wAfter w:w="145" w:type="dxa"/>
          <w:trHeight w:val="255"/>
        </w:trPr>
        <w:tc>
          <w:tcPr>
            <w:tcW w:w="1744"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gridSpan w:val="2"/>
            <w:vAlign w:val="center"/>
            <w:hideMark/>
          </w:tcPr>
          <w:p w:rsidR="00B51BA4" w:rsidRDefault="00B51BA4">
            <w:pPr>
              <w:rPr>
                <w:sz w:val="20"/>
                <w:szCs w:val="20"/>
              </w:rPr>
            </w:pPr>
          </w:p>
        </w:tc>
        <w:tc>
          <w:tcPr>
            <w:tcW w:w="636" w:type="dxa"/>
            <w:gridSpan w:val="2"/>
            <w:vAlign w:val="center"/>
            <w:hideMark/>
          </w:tcPr>
          <w:p w:rsidR="00B51BA4" w:rsidRDefault="00B51BA4">
            <w:pPr>
              <w:rPr>
                <w:sz w:val="20"/>
                <w:szCs w:val="20"/>
              </w:rPr>
            </w:pPr>
          </w:p>
        </w:tc>
      </w:tr>
      <w:tr w:rsidR="00B51BA4" w:rsidTr="00742E30">
        <w:trPr>
          <w:gridAfter w:val="1"/>
          <w:wAfter w:w="145" w:type="dxa"/>
          <w:trHeight w:val="255"/>
        </w:trPr>
        <w:tc>
          <w:tcPr>
            <w:tcW w:w="1744"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gridSpan w:val="2"/>
            <w:vAlign w:val="center"/>
            <w:hideMark/>
          </w:tcPr>
          <w:p w:rsidR="00B51BA4" w:rsidRDefault="00B51BA4">
            <w:pPr>
              <w:rPr>
                <w:sz w:val="20"/>
                <w:szCs w:val="20"/>
              </w:rPr>
            </w:pPr>
          </w:p>
        </w:tc>
        <w:tc>
          <w:tcPr>
            <w:tcW w:w="636" w:type="dxa"/>
            <w:gridSpan w:val="2"/>
            <w:vAlign w:val="center"/>
            <w:hideMark/>
          </w:tcPr>
          <w:p w:rsidR="00B51BA4" w:rsidRDefault="00B51BA4">
            <w:pPr>
              <w:rPr>
                <w:sz w:val="20"/>
                <w:szCs w:val="20"/>
              </w:rPr>
            </w:pPr>
          </w:p>
        </w:tc>
      </w:tr>
      <w:tr w:rsidR="00B51BA4" w:rsidTr="00742E30">
        <w:trPr>
          <w:gridAfter w:val="1"/>
          <w:wAfter w:w="145" w:type="dxa"/>
          <w:trHeight w:val="255"/>
        </w:trPr>
        <w:tc>
          <w:tcPr>
            <w:tcW w:w="1744"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gridSpan w:val="2"/>
            <w:vAlign w:val="center"/>
            <w:hideMark/>
          </w:tcPr>
          <w:p w:rsidR="00B51BA4" w:rsidRDefault="00B51BA4">
            <w:pPr>
              <w:rPr>
                <w:sz w:val="20"/>
                <w:szCs w:val="20"/>
              </w:rPr>
            </w:pPr>
          </w:p>
        </w:tc>
        <w:tc>
          <w:tcPr>
            <w:tcW w:w="636" w:type="dxa"/>
            <w:gridSpan w:val="2"/>
            <w:vAlign w:val="center"/>
            <w:hideMark/>
          </w:tcPr>
          <w:p w:rsidR="00B51BA4" w:rsidRDefault="00B51BA4">
            <w:pPr>
              <w:rPr>
                <w:sz w:val="20"/>
                <w:szCs w:val="20"/>
              </w:rPr>
            </w:pPr>
          </w:p>
        </w:tc>
      </w:tr>
      <w:tr w:rsidR="00B51BA4" w:rsidTr="00742E30">
        <w:trPr>
          <w:gridAfter w:val="1"/>
          <w:wAfter w:w="145" w:type="dxa"/>
          <w:trHeight w:val="255"/>
        </w:trPr>
        <w:tc>
          <w:tcPr>
            <w:tcW w:w="1744"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gridSpan w:val="2"/>
            <w:vAlign w:val="center"/>
            <w:hideMark/>
          </w:tcPr>
          <w:p w:rsidR="00B51BA4" w:rsidRDefault="00B51BA4">
            <w:pPr>
              <w:rPr>
                <w:sz w:val="20"/>
                <w:szCs w:val="20"/>
              </w:rPr>
            </w:pPr>
          </w:p>
        </w:tc>
        <w:tc>
          <w:tcPr>
            <w:tcW w:w="636" w:type="dxa"/>
            <w:gridSpan w:val="2"/>
            <w:vAlign w:val="center"/>
            <w:hideMark/>
          </w:tcPr>
          <w:p w:rsidR="00B51BA4" w:rsidRDefault="00B51BA4">
            <w:pPr>
              <w:rPr>
                <w:sz w:val="20"/>
                <w:szCs w:val="20"/>
              </w:rPr>
            </w:pPr>
          </w:p>
        </w:tc>
      </w:tr>
      <w:tr w:rsidR="00B51BA4" w:rsidTr="00742E30">
        <w:trPr>
          <w:gridAfter w:val="1"/>
          <w:wAfter w:w="145" w:type="dxa"/>
          <w:trHeight w:val="255"/>
        </w:trPr>
        <w:tc>
          <w:tcPr>
            <w:tcW w:w="1744"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gridSpan w:val="2"/>
            <w:vAlign w:val="center"/>
            <w:hideMark/>
          </w:tcPr>
          <w:p w:rsidR="00B51BA4" w:rsidRDefault="00B51BA4">
            <w:pPr>
              <w:rPr>
                <w:sz w:val="20"/>
                <w:szCs w:val="20"/>
              </w:rPr>
            </w:pPr>
          </w:p>
        </w:tc>
        <w:tc>
          <w:tcPr>
            <w:tcW w:w="636" w:type="dxa"/>
            <w:gridSpan w:val="2"/>
            <w:vAlign w:val="center"/>
            <w:hideMark/>
          </w:tcPr>
          <w:p w:rsidR="00B51BA4" w:rsidRDefault="00B51BA4">
            <w:pPr>
              <w:rPr>
                <w:sz w:val="20"/>
                <w:szCs w:val="20"/>
              </w:rPr>
            </w:pPr>
          </w:p>
        </w:tc>
      </w:tr>
      <w:tr w:rsidR="00B51BA4" w:rsidTr="00742E30">
        <w:trPr>
          <w:gridAfter w:val="1"/>
          <w:wAfter w:w="145" w:type="dxa"/>
          <w:trHeight w:val="255"/>
        </w:trPr>
        <w:tc>
          <w:tcPr>
            <w:tcW w:w="1744"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gridSpan w:val="2"/>
            <w:vAlign w:val="center"/>
            <w:hideMark/>
          </w:tcPr>
          <w:p w:rsidR="00B51BA4" w:rsidRDefault="00B51BA4">
            <w:pPr>
              <w:rPr>
                <w:sz w:val="20"/>
                <w:szCs w:val="20"/>
              </w:rPr>
            </w:pPr>
          </w:p>
        </w:tc>
        <w:tc>
          <w:tcPr>
            <w:tcW w:w="636" w:type="dxa"/>
            <w:gridSpan w:val="2"/>
            <w:vAlign w:val="center"/>
            <w:hideMark/>
          </w:tcPr>
          <w:p w:rsidR="00B51BA4" w:rsidRDefault="00B51BA4">
            <w:pPr>
              <w:rPr>
                <w:sz w:val="20"/>
                <w:szCs w:val="20"/>
              </w:rPr>
            </w:pPr>
          </w:p>
        </w:tc>
      </w:tr>
      <w:tr w:rsidR="00B51BA4" w:rsidTr="00742E30">
        <w:trPr>
          <w:gridAfter w:val="1"/>
          <w:wAfter w:w="145" w:type="dxa"/>
          <w:trHeight w:val="255"/>
        </w:trPr>
        <w:tc>
          <w:tcPr>
            <w:tcW w:w="1744"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gridSpan w:val="2"/>
            <w:vAlign w:val="center"/>
            <w:hideMark/>
          </w:tcPr>
          <w:p w:rsidR="00B51BA4" w:rsidRDefault="00B51BA4">
            <w:pPr>
              <w:rPr>
                <w:sz w:val="20"/>
                <w:szCs w:val="20"/>
              </w:rPr>
            </w:pPr>
          </w:p>
        </w:tc>
        <w:tc>
          <w:tcPr>
            <w:tcW w:w="636" w:type="dxa"/>
            <w:gridSpan w:val="2"/>
            <w:vAlign w:val="center"/>
            <w:hideMark/>
          </w:tcPr>
          <w:p w:rsidR="00B51BA4" w:rsidRDefault="00B51BA4">
            <w:pPr>
              <w:rPr>
                <w:sz w:val="20"/>
                <w:szCs w:val="20"/>
              </w:rPr>
            </w:pPr>
          </w:p>
        </w:tc>
      </w:tr>
      <w:tr w:rsidR="00B51BA4" w:rsidTr="00742E30">
        <w:trPr>
          <w:gridAfter w:val="1"/>
          <w:wAfter w:w="145" w:type="dxa"/>
          <w:trHeight w:val="255"/>
        </w:trPr>
        <w:tc>
          <w:tcPr>
            <w:tcW w:w="1744"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gridSpan w:val="2"/>
            <w:vAlign w:val="center"/>
            <w:hideMark/>
          </w:tcPr>
          <w:p w:rsidR="00B51BA4" w:rsidRDefault="00B51BA4">
            <w:pPr>
              <w:rPr>
                <w:sz w:val="20"/>
                <w:szCs w:val="20"/>
              </w:rPr>
            </w:pPr>
          </w:p>
        </w:tc>
        <w:tc>
          <w:tcPr>
            <w:tcW w:w="636" w:type="dxa"/>
            <w:gridSpan w:val="2"/>
            <w:vAlign w:val="center"/>
            <w:hideMark/>
          </w:tcPr>
          <w:p w:rsidR="00B51BA4" w:rsidRDefault="00B51BA4">
            <w:pPr>
              <w:rPr>
                <w:sz w:val="20"/>
                <w:szCs w:val="20"/>
              </w:rPr>
            </w:pPr>
          </w:p>
        </w:tc>
      </w:tr>
      <w:tr w:rsidR="00B51BA4" w:rsidTr="00742E30">
        <w:trPr>
          <w:gridAfter w:val="1"/>
          <w:wAfter w:w="145" w:type="dxa"/>
          <w:trHeight w:val="255"/>
        </w:trPr>
        <w:tc>
          <w:tcPr>
            <w:tcW w:w="1744"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gridSpan w:val="2"/>
            <w:vAlign w:val="center"/>
            <w:hideMark/>
          </w:tcPr>
          <w:p w:rsidR="00B51BA4" w:rsidRDefault="00B51BA4">
            <w:pPr>
              <w:rPr>
                <w:sz w:val="20"/>
                <w:szCs w:val="20"/>
              </w:rPr>
            </w:pPr>
          </w:p>
        </w:tc>
        <w:tc>
          <w:tcPr>
            <w:tcW w:w="636" w:type="dxa"/>
            <w:gridSpan w:val="2"/>
            <w:vAlign w:val="center"/>
            <w:hideMark/>
          </w:tcPr>
          <w:p w:rsidR="00B51BA4" w:rsidRDefault="00B51BA4">
            <w:pPr>
              <w:rPr>
                <w:sz w:val="20"/>
                <w:szCs w:val="20"/>
              </w:rPr>
            </w:pPr>
          </w:p>
        </w:tc>
      </w:tr>
      <w:tr w:rsidR="00B51BA4" w:rsidTr="00742E30">
        <w:trPr>
          <w:gridAfter w:val="1"/>
          <w:wAfter w:w="145" w:type="dxa"/>
          <w:trHeight w:val="255"/>
        </w:trPr>
        <w:tc>
          <w:tcPr>
            <w:tcW w:w="1744"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gridSpan w:val="2"/>
            <w:vAlign w:val="center"/>
            <w:hideMark/>
          </w:tcPr>
          <w:p w:rsidR="00B51BA4" w:rsidRDefault="00B51BA4">
            <w:pPr>
              <w:rPr>
                <w:sz w:val="20"/>
                <w:szCs w:val="20"/>
              </w:rPr>
            </w:pPr>
          </w:p>
        </w:tc>
        <w:tc>
          <w:tcPr>
            <w:tcW w:w="636" w:type="dxa"/>
            <w:gridSpan w:val="2"/>
            <w:vAlign w:val="center"/>
            <w:hideMark/>
          </w:tcPr>
          <w:p w:rsidR="00B51BA4" w:rsidRDefault="00B51BA4">
            <w:pPr>
              <w:rPr>
                <w:sz w:val="20"/>
                <w:szCs w:val="20"/>
              </w:rPr>
            </w:pPr>
          </w:p>
        </w:tc>
      </w:tr>
      <w:tr w:rsidR="00B51BA4" w:rsidTr="00742E30">
        <w:trPr>
          <w:gridAfter w:val="1"/>
          <w:wAfter w:w="145" w:type="dxa"/>
          <w:trHeight w:val="255"/>
        </w:trPr>
        <w:tc>
          <w:tcPr>
            <w:tcW w:w="1744"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gridSpan w:val="2"/>
            <w:vAlign w:val="center"/>
            <w:hideMark/>
          </w:tcPr>
          <w:p w:rsidR="00B51BA4" w:rsidRDefault="00B51BA4">
            <w:pPr>
              <w:rPr>
                <w:sz w:val="20"/>
                <w:szCs w:val="20"/>
              </w:rPr>
            </w:pPr>
          </w:p>
        </w:tc>
        <w:tc>
          <w:tcPr>
            <w:tcW w:w="636" w:type="dxa"/>
            <w:gridSpan w:val="2"/>
            <w:vAlign w:val="center"/>
            <w:hideMark/>
          </w:tcPr>
          <w:p w:rsidR="00B51BA4" w:rsidRDefault="00B51BA4">
            <w:pPr>
              <w:rPr>
                <w:sz w:val="20"/>
                <w:szCs w:val="20"/>
              </w:rPr>
            </w:pPr>
          </w:p>
        </w:tc>
      </w:tr>
      <w:tr w:rsidR="00B51BA4" w:rsidTr="00742E30">
        <w:trPr>
          <w:gridAfter w:val="1"/>
          <w:wAfter w:w="145" w:type="dxa"/>
          <w:trHeight w:val="255"/>
        </w:trPr>
        <w:tc>
          <w:tcPr>
            <w:tcW w:w="1744"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gridSpan w:val="2"/>
            <w:vAlign w:val="center"/>
            <w:hideMark/>
          </w:tcPr>
          <w:p w:rsidR="00B51BA4" w:rsidRDefault="00B51BA4">
            <w:pPr>
              <w:rPr>
                <w:sz w:val="20"/>
                <w:szCs w:val="20"/>
              </w:rPr>
            </w:pPr>
          </w:p>
        </w:tc>
        <w:tc>
          <w:tcPr>
            <w:tcW w:w="636" w:type="dxa"/>
            <w:gridSpan w:val="2"/>
            <w:vAlign w:val="center"/>
            <w:hideMark/>
          </w:tcPr>
          <w:p w:rsidR="00B51BA4" w:rsidRDefault="00B51BA4">
            <w:pPr>
              <w:rPr>
                <w:sz w:val="20"/>
                <w:szCs w:val="20"/>
              </w:rPr>
            </w:pPr>
          </w:p>
        </w:tc>
      </w:tr>
      <w:tr w:rsidR="00B51BA4" w:rsidTr="00742E30">
        <w:trPr>
          <w:gridAfter w:val="1"/>
          <w:wAfter w:w="145" w:type="dxa"/>
          <w:trHeight w:val="255"/>
        </w:trPr>
        <w:tc>
          <w:tcPr>
            <w:tcW w:w="1744"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gridSpan w:val="2"/>
            <w:vAlign w:val="center"/>
            <w:hideMark/>
          </w:tcPr>
          <w:p w:rsidR="00B51BA4" w:rsidRDefault="00B51BA4">
            <w:pPr>
              <w:rPr>
                <w:sz w:val="20"/>
                <w:szCs w:val="20"/>
              </w:rPr>
            </w:pPr>
          </w:p>
        </w:tc>
        <w:tc>
          <w:tcPr>
            <w:tcW w:w="636" w:type="dxa"/>
            <w:gridSpan w:val="2"/>
            <w:vAlign w:val="center"/>
            <w:hideMark/>
          </w:tcPr>
          <w:p w:rsidR="00B51BA4" w:rsidRDefault="00B51BA4">
            <w:pPr>
              <w:rPr>
                <w:sz w:val="20"/>
                <w:szCs w:val="20"/>
              </w:rPr>
            </w:pPr>
          </w:p>
        </w:tc>
      </w:tr>
      <w:tr w:rsidR="00B51BA4" w:rsidTr="00742E30">
        <w:trPr>
          <w:gridAfter w:val="1"/>
          <w:wAfter w:w="145" w:type="dxa"/>
          <w:trHeight w:val="255"/>
        </w:trPr>
        <w:tc>
          <w:tcPr>
            <w:tcW w:w="1744"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gridSpan w:val="2"/>
            <w:vAlign w:val="center"/>
            <w:hideMark/>
          </w:tcPr>
          <w:p w:rsidR="00B51BA4" w:rsidRDefault="00B51BA4">
            <w:pPr>
              <w:rPr>
                <w:sz w:val="20"/>
                <w:szCs w:val="20"/>
              </w:rPr>
            </w:pPr>
          </w:p>
        </w:tc>
        <w:tc>
          <w:tcPr>
            <w:tcW w:w="636" w:type="dxa"/>
            <w:gridSpan w:val="2"/>
            <w:vAlign w:val="center"/>
            <w:hideMark/>
          </w:tcPr>
          <w:p w:rsidR="00B51BA4" w:rsidRDefault="00B51BA4">
            <w:pPr>
              <w:rPr>
                <w:sz w:val="20"/>
                <w:szCs w:val="20"/>
              </w:rPr>
            </w:pPr>
          </w:p>
        </w:tc>
      </w:tr>
      <w:tr w:rsidR="00B51BA4" w:rsidTr="00742E30">
        <w:trPr>
          <w:gridAfter w:val="1"/>
          <w:wAfter w:w="145" w:type="dxa"/>
          <w:trHeight w:val="255"/>
        </w:trPr>
        <w:tc>
          <w:tcPr>
            <w:tcW w:w="1744"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gridSpan w:val="2"/>
            <w:vAlign w:val="center"/>
            <w:hideMark/>
          </w:tcPr>
          <w:p w:rsidR="00B51BA4" w:rsidRDefault="00B51BA4">
            <w:pPr>
              <w:rPr>
                <w:sz w:val="20"/>
                <w:szCs w:val="20"/>
              </w:rPr>
            </w:pPr>
          </w:p>
        </w:tc>
        <w:tc>
          <w:tcPr>
            <w:tcW w:w="636" w:type="dxa"/>
            <w:gridSpan w:val="2"/>
            <w:vAlign w:val="center"/>
            <w:hideMark/>
          </w:tcPr>
          <w:p w:rsidR="00B51BA4" w:rsidRDefault="00B51BA4">
            <w:pPr>
              <w:rPr>
                <w:sz w:val="20"/>
                <w:szCs w:val="20"/>
              </w:rPr>
            </w:pPr>
          </w:p>
        </w:tc>
      </w:tr>
      <w:tr w:rsidR="00B51BA4" w:rsidTr="00742E30">
        <w:trPr>
          <w:gridAfter w:val="1"/>
          <w:wAfter w:w="145" w:type="dxa"/>
          <w:trHeight w:val="255"/>
        </w:trPr>
        <w:tc>
          <w:tcPr>
            <w:tcW w:w="1744"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gridSpan w:val="2"/>
            <w:vAlign w:val="center"/>
            <w:hideMark/>
          </w:tcPr>
          <w:p w:rsidR="00B51BA4" w:rsidRDefault="00B51BA4">
            <w:pPr>
              <w:rPr>
                <w:sz w:val="20"/>
                <w:szCs w:val="20"/>
              </w:rPr>
            </w:pPr>
          </w:p>
        </w:tc>
        <w:tc>
          <w:tcPr>
            <w:tcW w:w="636" w:type="dxa"/>
            <w:gridSpan w:val="2"/>
            <w:vAlign w:val="center"/>
            <w:hideMark/>
          </w:tcPr>
          <w:p w:rsidR="00B51BA4" w:rsidRDefault="00B51BA4">
            <w:pPr>
              <w:rPr>
                <w:sz w:val="20"/>
                <w:szCs w:val="20"/>
              </w:rPr>
            </w:pPr>
          </w:p>
        </w:tc>
      </w:tr>
      <w:tr w:rsidR="00B51BA4" w:rsidTr="00742E30">
        <w:trPr>
          <w:gridAfter w:val="1"/>
          <w:wAfter w:w="145" w:type="dxa"/>
          <w:trHeight w:val="255"/>
        </w:trPr>
        <w:tc>
          <w:tcPr>
            <w:tcW w:w="1744"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gridSpan w:val="2"/>
            <w:vAlign w:val="center"/>
            <w:hideMark/>
          </w:tcPr>
          <w:p w:rsidR="00B51BA4" w:rsidRDefault="00B51BA4">
            <w:pPr>
              <w:rPr>
                <w:sz w:val="20"/>
                <w:szCs w:val="20"/>
              </w:rPr>
            </w:pPr>
          </w:p>
        </w:tc>
        <w:tc>
          <w:tcPr>
            <w:tcW w:w="636" w:type="dxa"/>
            <w:gridSpan w:val="2"/>
            <w:vAlign w:val="center"/>
            <w:hideMark/>
          </w:tcPr>
          <w:p w:rsidR="00B51BA4" w:rsidRDefault="00B51BA4">
            <w:pPr>
              <w:rPr>
                <w:sz w:val="20"/>
                <w:szCs w:val="20"/>
              </w:rPr>
            </w:pPr>
          </w:p>
        </w:tc>
      </w:tr>
      <w:tr w:rsidR="00B51BA4" w:rsidTr="00742E30">
        <w:trPr>
          <w:gridAfter w:val="1"/>
          <w:wAfter w:w="145" w:type="dxa"/>
          <w:trHeight w:val="255"/>
        </w:trPr>
        <w:tc>
          <w:tcPr>
            <w:tcW w:w="1744"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gridSpan w:val="2"/>
            <w:vAlign w:val="center"/>
            <w:hideMark/>
          </w:tcPr>
          <w:p w:rsidR="00B51BA4" w:rsidRDefault="00B51BA4">
            <w:pPr>
              <w:rPr>
                <w:sz w:val="20"/>
                <w:szCs w:val="20"/>
              </w:rPr>
            </w:pPr>
          </w:p>
        </w:tc>
        <w:tc>
          <w:tcPr>
            <w:tcW w:w="636" w:type="dxa"/>
            <w:gridSpan w:val="2"/>
            <w:vAlign w:val="center"/>
            <w:hideMark/>
          </w:tcPr>
          <w:p w:rsidR="00B51BA4" w:rsidRDefault="00B51BA4">
            <w:pPr>
              <w:rPr>
                <w:sz w:val="20"/>
                <w:szCs w:val="20"/>
              </w:rPr>
            </w:pPr>
          </w:p>
        </w:tc>
      </w:tr>
      <w:tr w:rsidR="00B51BA4" w:rsidTr="00742E30">
        <w:trPr>
          <w:gridAfter w:val="1"/>
          <w:wAfter w:w="145" w:type="dxa"/>
          <w:trHeight w:val="255"/>
        </w:trPr>
        <w:tc>
          <w:tcPr>
            <w:tcW w:w="1744"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gridSpan w:val="2"/>
            <w:vAlign w:val="center"/>
            <w:hideMark/>
          </w:tcPr>
          <w:p w:rsidR="00B51BA4" w:rsidRDefault="00B51BA4">
            <w:pPr>
              <w:rPr>
                <w:sz w:val="20"/>
                <w:szCs w:val="20"/>
              </w:rPr>
            </w:pPr>
          </w:p>
        </w:tc>
        <w:tc>
          <w:tcPr>
            <w:tcW w:w="636" w:type="dxa"/>
            <w:gridSpan w:val="2"/>
            <w:vAlign w:val="center"/>
            <w:hideMark/>
          </w:tcPr>
          <w:p w:rsidR="00B51BA4" w:rsidRDefault="00B51BA4">
            <w:pPr>
              <w:rPr>
                <w:sz w:val="20"/>
                <w:szCs w:val="20"/>
              </w:rPr>
            </w:pPr>
          </w:p>
        </w:tc>
      </w:tr>
      <w:tr w:rsidR="00B51BA4" w:rsidTr="00742E30">
        <w:trPr>
          <w:gridAfter w:val="1"/>
          <w:wAfter w:w="145" w:type="dxa"/>
          <w:trHeight w:val="255"/>
        </w:trPr>
        <w:tc>
          <w:tcPr>
            <w:tcW w:w="1744"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gridSpan w:val="2"/>
            <w:vAlign w:val="center"/>
            <w:hideMark/>
          </w:tcPr>
          <w:p w:rsidR="00B51BA4" w:rsidRDefault="00B51BA4">
            <w:pPr>
              <w:rPr>
                <w:sz w:val="20"/>
                <w:szCs w:val="20"/>
              </w:rPr>
            </w:pPr>
          </w:p>
        </w:tc>
        <w:tc>
          <w:tcPr>
            <w:tcW w:w="636" w:type="dxa"/>
            <w:gridSpan w:val="2"/>
            <w:vAlign w:val="center"/>
            <w:hideMark/>
          </w:tcPr>
          <w:p w:rsidR="00B51BA4" w:rsidRDefault="00B51BA4">
            <w:pPr>
              <w:rPr>
                <w:sz w:val="20"/>
                <w:szCs w:val="20"/>
              </w:rPr>
            </w:pPr>
          </w:p>
        </w:tc>
      </w:tr>
      <w:tr w:rsidR="00B51BA4" w:rsidTr="00742E30">
        <w:trPr>
          <w:gridAfter w:val="1"/>
          <w:wAfter w:w="145" w:type="dxa"/>
          <w:trHeight w:val="255"/>
        </w:trPr>
        <w:tc>
          <w:tcPr>
            <w:tcW w:w="1744"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gridSpan w:val="2"/>
            <w:vAlign w:val="center"/>
            <w:hideMark/>
          </w:tcPr>
          <w:p w:rsidR="00B51BA4" w:rsidRDefault="00B51BA4">
            <w:pPr>
              <w:rPr>
                <w:sz w:val="20"/>
                <w:szCs w:val="20"/>
              </w:rPr>
            </w:pPr>
          </w:p>
        </w:tc>
        <w:tc>
          <w:tcPr>
            <w:tcW w:w="636" w:type="dxa"/>
            <w:gridSpan w:val="2"/>
            <w:vAlign w:val="center"/>
            <w:hideMark/>
          </w:tcPr>
          <w:p w:rsidR="00B51BA4" w:rsidRDefault="00B51BA4">
            <w:pPr>
              <w:rPr>
                <w:sz w:val="20"/>
                <w:szCs w:val="20"/>
              </w:rPr>
            </w:pPr>
          </w:p>
        </w:tc>
      </w:tr>
      <w:tr w:rsidR="00B51BA4" w:rsidTr="00742E30">
        <w:trPr>
          <w:gridAfter w:val="1"/>
          <w:wAfter w:w="145" w:type="dxa"/>
          <w:trHeight w:val="255"/>
        </w:trPr>
        <w:tc>
          <w:tcPr>
            <w:tcW w:w="1744"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532"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55" w:type="dxa"/>
            <w:gridSpan w:val="2"/>
            <w:tcBorders>
              <w:top w:val="nil"/>
              <w:left w:val="nil"/>
              <w:bottom w:val="nil"/>
              <w:right w:val="nil"/>
            </w:tcBorders>
            <w:shd w:val="clear" w:color="auto" w:fill="auto"/>
            <w:noWrap/>
            <w:vAlign w:val="bottom"/>
            <w:hideMark/>
          </w:tcPr>
          <w:p w:rsidR="00B51BA4" w:rsidRDefault="00B51BA4">
            <w:pPr>
              <w:rPr>
                <w:rFonts w:ascii="Arial CE" w:hAnsi="Arial CE" w:cs="Arial CE"/>
                <w:sz w:val="20"/>
                <w:szCs w:val="20"/>
              </w:rPr>
            </w:pPr>
          </w:p>
        </w:tc>
        <w:tc>
          <w:tcPr>
            <w:tcW w:w="636" w:type="dxa"/>
            <w:gridSpan w:val="2"/>
            <w:vAlign w:val="center"/>
            <w:hideMark/>
          </w:tcPr>
          <w:p w:rsidR="00B51BA4" w:rsidRDefault="00B51BA4">
            <w:pPr>
              <w:rPr>
                <w:sz w:val="20"/>
                <w:szCs w:val="20"/>
              </w:rPr>
            </w:pPr>
          </w:p>
        </w:tc>
        <w:tc>
          <w:tcPr>
            <w:tcW w:w="636" w:type="dxa"/>
            <w:gridSpan w:val="2"/>
            <w:vAlign w:val="center"/>
            <w:hideMark/>
          </w:tcPr>
          <w:p w:rsidR="00B51BA4" w:rsidRDefault="00B51BA4">
            <w:pPr>
              <w:rPr>
                <w:sz w:val="20"/>
                <w:szCs w:val="20"/>
              </w:rPr>
            </w:pPr>
          </w:p>
        </w:tc>
      </w:tr>
      <w:tr w:rsidR="00742E30" w:rsidTr="00742E30">
        <w:trPr>
          <w:trHeight w:val="255"/>
        </w:trPr>
        <w:tc>
          <w:tcPr>
            <w:tcW w:w="1620" w:type="dxa"/>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bl>
            <w:tblPr>
              <w:tblW w:w="0" w:type="auto"/>
              <w:tblCellSpacing w:w="0" w:type="dxa"/>
              <w:tblCellMar>
                <w:left w:w="0" w:type="dxa"/>
                <w:right w:w="0" w:type="dxa"/>
              </w:tblCellMar>
              <w:tblLook w:val="04A0" w:firstRow="1" w:lastRow="0" w:firstColumn="1" w:lastColumn="0" w:noHBand="0" w:noVBand="1"/>
            </w:tblPr>
            <w:tblGrid>
              <w:gridCol w:w="1480"/>
            </w:tblGrid>
            <w:tr w:rsidR="00742E30">
              <w:trPr>
                <w:trHeight w:val="255"/>
                <w:tblCellSpacing w:w="0" w:type="dxa"/>
              </w:trPr>
              <w:tc>
                <w:tcPr>
                  <w:tcW w:w="1480" w:type="dxa"/>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r>
          </w:tbl>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3"/>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3"/>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3"/>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r>
      <w:tr w:rsidR="00742E30" w:rsidTr="00742E30">
        <w:trPr>
          <w:trHeight w:val="255"/>
        </w:trPr>
        <w:tc>
          <w:tcPr>
            <w:tcW w:w="1620" w:type="dxa"/>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3"/>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3"/>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w:hAnsi="Arial" w:cs="Arial"/>
                <w:sz w:val="16"/>
                <w:szCs w:val="16"/>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3"/>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r>
      <w:tr w:rsidR="00742E30" w:rsidTr="00742E30">
        <w:trPr>
          <w:trHeight w:val="255"/>
        </w:trPr>
        <w:tc>
          <w:tcPr>
            <w:tcW w:w="1620" w:type="dxa"/>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3"/>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3"/>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3"/>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r>
      <w:tr w:rsidR="00742E30" w:rsidTr="00742E30">
        <w:trPr>
          <w:trHeight w:val="255"/>
        </w:trPr>
        <w:tc>
          <w:tcPr>
            <w:tcW w:w="1620" w:type="dxa"/>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3"/>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3"/>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3"/>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c>
          <w:tcPr>
            <w:tcW w:w="636" w:type="dxa"/>
            <w:gridSpan w:val="2"/>
            <w:tcBorders>
              <w:top w:val="nil"/>
              <w:left w:val="nil"/>
              <w:bottom w:val="nil"/>
              <w:right w:val="nil"/>
            </w:tcBorders>
            <w:shd w:val="clear" w:color="auto" w:fill="auto"/>
            <w:noWrap/>
            <w:vAlign w:val="bottom"/>
            <w:hideMark/>
          </w:tcPr>
          <w:p w:rsidR="00742E30" w:rsidRDefault="00742E30">
            <w:pPr>
              <w:rPr>
                <w:rFonts w:ascii="Arial CE" w:hAnsi="Arial CE" w:cs="Arial CE"/>
                <w:sz w:val="20"/>
                <w:szCs w:val="20"/>
              </w:rPr>
            </w:pPr>
          </w:p>
        </w:tc>
      </w:tr>
    </w:tbl>
    <w:p w:rsidR="008A56CA" w:rsidRDefault="008A56CA" w:rsidP="00742E30">
      <w:pPr>
        <w:jc w:val="both"/>
        <w:rPr>
          <w:i/>
          <w:sz w:val="20"/>
          <w:szCs w:val="20"/>
        </w:rPr>
      </w:pPr>
    </w:p>
    <w:p w:rsidR="00FD24F5" w:rsidRDefault="00FD24F5" w:rsidP="00742E30">
      <w:pPr>
        <w:jc w:val="both"/>
        <w:rPr>
          <w:i/>
          <w:sz w:val="20"/>
          <w:szCs w:val="20"/>
        </w:rPr>
      </w:pPr>
    </w:p>
    <w:tbl>
      <w:tblPr>
        <w:tblW w:w="9708" w:type="dxa"/>
        <w:tblInd w:w="70" w:type="dxa"/>
        <w:tblCellMar>
          <w:left w:w="70" w:type="dxa"/>
          <w:right w:w="70" w:type="dxa"/>
        </w:tblCellMar>
        <w:tblLook w:val="04A0" w:firstRow="1" w:lastRow="0" w:firstColumn="1" w:lastColumn="0" w:noHBand="0" w:noVBand="1"/>
      </w:tblPr>
      <w:tblGrid>
        <w:gridCol w:w="2066"/>
        <w:gridCol w:w="1078"/>
        <w:gridCol w:w="1076"/>
        <w:gridCol w:w="1076"/>
        <w:gridCol w:w="1076"/>
        <w:gridCol w:w="805"/>
        <w:gridCol w:w="169"/>
        <w:gridCol w:w="239"/>
        <w:gridCol w:w="327"/>
        <w:gridCol w:w="140"/>
        <w:gridCol w:w="268"/>
        <w:gridCol w:w="327"/>
        <w:gridCol w:w="191"/>
        <w:gridCol w:w="216"/>
        <w:gridCol w:w="327"/>
        <w:gridCol w:w="140"/>
        <w:gridCol w:w="187"/>
      </w:tblGrid>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r>
              <w:rPr>
                <w:rFonts w:ascii="Arial" w:hAnsi="Arial" w:cs="Arial"/>
                <w:noProof/>
                <w:sz w:val="20"/>
                <w:szCs w:val="20"/>
              </w:rPr>
              <w:lastRenderedPageBreak/>
              <w:drawing>
                <wp:anchor distT="0" distB="0" distL="114300" distR="114300" simplePos="0" relativeHeight="251661312" behindDoc="0" locked="0" layoutInCell="1" allowOverlap="1" wp14:anchorId="6864FC74" wp14:editId="0535DDA3">
                  <wp:simplePos x="0" y="0"/>
                  <wp:positionH relativeFrom="column">
                    <wp:posOffset>38100</wp:posOffset>
                  </wp:positionH>
                  <wp:positionV relativeFrom="paragraph">
                    <wp:posOffset>123825</wp:posOffset>
                  </wp:positionV>
                  <wp:extent cx="5200650" cy="4248150"/>
                  <wp:effectExtent l="0" t="0" r="38100" b="38100"/>
                  <wp:wrapNone/>
                  <wp:docPr id="6" name="Graf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900"/>
            </w:tblGrid>
            <w:tr w:rsidR="00FD24F5">
              <w:trPr>
                <w:trHeight w:val="255"/>
                <w:tblCellSpacing w:w="0" w:type="dxa"/>
              </w:trPr>
              <w:tc>
                <w:tcPr>
                  <w:tcW w:w="1900"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bl>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r>
              <w:rPr>
                <w:rFonts w:ascii="Arial" w:hAnsi="Arial" w:cs="Arial"/>
                <w:noProof/>
                <w:sz w:val="20"/>
                <w:szCs w:val="20"/>
              </w:rPr>
              <w:drawing>
                <wp:anchor distT="0" distB="0" distL="114300" distR="114300" simplePos="0" relativeHeight="251662336" behindDoc="0" locked="0" layoutInCell="1" allowOverlap="1" wp14:anchorId="7E84747A" wp14:editId="3A756A5A">
                  <wp:simplePos x="0" y="0"/>
                  <wp:positionH relativeFrom="column">
                    <wp:posOffset>9525</wp:posOffset>
                  </wp:positionH>
                  <wp:positionV relativeFrom="paragraph">
                    <wp:posOffset>85725</wp:posOffset>
                  </wp:positionV>
                  <wp:extent cx="5200650" cy="5114925"/>
                  <wp:effectExtent l="0" t="0" r="38100" b="28575"/>
                  <wp:wrapNone/>
                  <wp:docPr id="7" name="Graf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900"/>
            </w:tblGrid>
            <w:tr w:rsidR="00FD24F5">
              <w:trPr>
                <w:trHeight w:val="255"/>
                <w:tblCellSpacing w:w="0" w:type="dxa"/>
              </w:trPr>
              <w:tc>
                <w:tcPr>
                  <w:tcW w:w="1900"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bl>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tbl>
            <w:tblPr>
              <w:tblW w:w="9204" w:type="dxa"/>
              <w:tblCellMar>
                <w:left w:w="70" w:type="dxa"/>
                <w:right w:w="70" w:type="dxa"/>
              </w:tblCellMar>
              <w:tblLook w:val="04A0" w:firstRow="1" w:lastRow="0" w:firstColumn="1" w:lastColumn="0" w:noHBand="0" w:noVBand="1"/>
            </w:tblPr>
            <w:tblGrid>
              <w:gridCol w:w="826"/>
              <w:gridCol w:w="738"/>
              <w:gridCol w:w="739"/>
              <w:gridCol w:w="739"/>
              <w:gridCol w:w="739"/>
              <w:gridCol w:w="739"/>
              <w:gridCol w:w="739"/>
              <w:gridCol w:w="1039"/>
              <w:gridCol w:w="739"/>
            </w:tblGrid>
            <w:tr w:rsidR="00FD24F5" w:rsidTr="00FD24F5">
              <w:trPr>
                <w:trHeight w:val="255"/>
              </w:trPr>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39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r w:rsidR="00FD24F5" w:rsidTr="00FD24F5">
              <w:trPr>
                <w:trHeight w:val="315"/>
              </w:trPr>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r>
                    <w:rPr>
                      <w:rFonts w:ascii="Arial" w:hAnsi="Arial" w:cs="Arial"/>
                      <w:noProof/>
                      <w:sz w:val="20"/>
                      <w:szCs w:val="20"/>
                    </w:rPr>
                    <w:drawing>
                      <wp:anchor distT="0" distB="0" distL="114300" distR="114300" simplePos="0" relativeHeight="251664384" behindDoc="0" locked="0" layoutInCell="1" allowOverlap="1" wp14:anchorId="457DC61A" wp14:editId="0525B142">
                        <wp:simplePos x="0" y="0"/>
                        <wp:positionH relativeFrom="column">
                          <wp:posOffset>28575</wp:posOffset>
                        </wp:positionH>
                        <wp:positionV relativeFrom="paragraph">
                          <wp:posOffset>0</wp:posOffset>
                        </wp:positionV>
                        <wp:extent cx="5372100" cy="2809875"/>
                        <wp:effectExtent l="0" t="0" r="38100" b="28575"/>
                        <wp:wrapNone/>
                        <wp:docPr id="2" name="Graf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686"/>
                  </w:tblGrid>
                  <w:tr w:rsidR="00FD24F5">
                    <w:trPr>
                      <w:trHeight w:val="315"/>
                      <w:tblCellSpacing w:w="0" w:type="dxa"/>
                    </w:trPr>
                    <w:tc>
                      <w:tcPr>
                        <w:tcW w:w="960"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bl>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39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r w:rsidR="00FD24F5" w:rsidTr="00FD24F5">
              <w:trPr>
                <w:trHeight w:val="255"/>
              </w:trPr>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39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r w:rsidR="00FD24F5" w:rsidTr="00FD24F5">
              <w:trPr>
                <w:trHeight w:val="255"/>
              </w:trPr>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39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r w:rsidR="00FD24F5" w:rsidTr="00FD24F5">
              <w:trPr>
                <w:trHeight w:val="255"/>
              </w:trPr>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39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r w:rsidR="00FD24F5" w:rsidTr="00FD24F5">
              <w:trPr>
                <w:trHeight w:val="255"/>
              </w:trPr>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39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r w:rsidR="00FD24F5" w:rsidTr="00FD24F5">
              <w:trPr>
                <w:trHeight w:val="255"/>
              </w:trPr>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39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r w:rsidR="00FD24F5" w:rsidTr="00FD24F5">
              <w:trPr>
                <w:trHeight w:val="255"/>
              </w:trPr>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39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r w:rsidR="00FD24F5" w:rsidTr="00FD24F5">
              <w:trPr>
                <w:trHeight w:val="255"/>
              </w:trPr>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39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r w:rsidR="00FD24F5" w:rsidTr="00FD24F5">
              <w:trPr>
                <w:trHeight w:val="255"/>
              </w:trPr>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39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r w:rsidR="00FD24F5" w:rsidTr="00FD24F5">
              <w:trPr>
                <w:trHeight w:val="255"/>
              </w:trPr>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39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r w:rsidR="00FD24F5" w:rsidTr="00FD24F5">
              <w:trPr>
                <w:trHeight w:val="255"/>
              </w:trPr>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39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r w:rsidR="00FD24F5" w:rsidTr="00FD24F5">
              <w:trPr>
                <w:trHeight w:val="255"/>
              </w:trPr>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39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r w:rsidR="00FD24F5" w:rsidTr="00FD24F5">
              <w:trPr>
                <w:trHeight w:val="255"/>
              </w:trPr>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39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r w:rsidR="00FD24F5" w:rsidTr="00FD24F5">
              <w:trPr>
                <w:trHeight w:val="255"/>
              </w:trPr>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39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r w:rsidR="00FD24F5" w:rsidTr="00FD24F5">
              <w:trPr>
                <w:trHeight w:val="255"/>
              </w:trPr>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39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r w:rsidR="00FD24F5" w:rsidTr="00FD24F5">
              <w:trPr>
                <w:trHeight w:val="255"/>
              </w:trPr>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39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r w:rsidR="00FD24F5" w:rsidTr="00FD24F5">
              <w:trPr>
                <w:trHeight w:val="255"/>
              </w:trPr>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39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bl>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b/>
                <w:bCs/>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r>
              <w:rPr>
                <w:rFonts w:ascii="Arial" w:hAnsi="Arial" w:cs="Arial"/>
                <w:noProof/>
                <w:sz w:val="20"/>
                <w:szCs w:val="20"/>
              </w:rPr>
              <w:drawing>
                <wp:anchor distT="0" distB="0" distL="114300" distR="114300" simplePos="0" relativeHeight="251666432" behindDoc="0" locked="0" layoutInCell="1" allowOverlap="1" wp14:anchorId="120DF457" wp14:editId="3C636C65">
                  <wp:simplePos x="0" y="0"/>
                  <wp:positionH relativeFrom="column">
                    <wp:posOffset>111125</wp:posOffset>
                  </wp:positionH>
                  <wp:positionV relativeFrom="paragraph">
                    <wp:posOffset>37465</wp:posOffset>
                  </wp:positionV>
                  <wp:extent cx="5314950" cy="2562225"/>
                  <wp:effectExtent l="0" t="0" r="38100" b="28575"/>
                  <wp:wrapNone/>
                  <wp:docPr id="4" name="Graf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r>
      <w:tr w:rsidR="00FD24F5" w:rsidTr="00FD24F5">
        <w:trPr>
          <w:trHeight w:val="255"/>
        </w:trPr>
        <w:tc>
          <w:tcPr>
            <w:tcW w:w="6663" w:type="dxa"/>
            <w:gridSpan w:val="6"/>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6"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65"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tc>
        <w:tc>
          <w:tcPr>
            <w:tcW w:w="412"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16"/>
                <w:szCs w:val="16"/>
              </w:rPr>
            </w:pPr>
          </w:p>
          <w:p w:rsidR="00FD24F5" w:rsidRDefault="00FD24F5">
            <w:pPr>
              <w:rPr>
                <w:rFonts w:ascii="Arial" w:hAnsi="Arial" w:cs="Arial"/>
                <w:sz w:val="16"/>
                <w:szCs w:val="16"/>
              </w:rPr>
            </w:pPr>
          </w:p>
        </w:tc>
      </w:tr>
      <w:tr w:rsidR="00FD24F5" w:rsidTr="00FD24F5">
        <w:trPr>
          <w:gridAfter w:val="1"/>
          <w:wAfter w:w="272" w:type="dxa"/>
          <w:trHeight w:val="255"/>
        </w:trPr>
        <w:tc>
          <w:tcPr>
            <w:tcW w:w="1664"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r>
              <w:rPr>
                <w:rFonts w:ascii="Arial" w:hAnsi="Arial" w:cs="Arial"/>
                <w:noProof/>
                <w:sz w:val="20"/>
                <w:szCs w:val="20"/>
              </w:rPr>
              <w:drawing>
                <wp:anchor distT="0" distB="0" distL="114300" distR="114300" simplePos="0" relativeHeight="251667456" behindDoc="0" locked="0" layoutInCell="1" allowOverlap="1" wp14:anchorId="4D4240C6" wp14:editId="01BBBCDB">
                  <wp:simplePos x="0" y="0"/>
                  <wp:positionH relativeFrom="column">
                    <wp:posOffset>28575</wp:posOffset>
                  </wp:positionH>
                  <wp:positionV relativeFrom="paragraph">
                    <wp:posOffset>2476500</wp:posOffset>
                  </wp:positionV>
                  <wp:extent cx="5353050" cy="2886075"/>
                  <wp:effectExtent l="0" t="0" r="38100" b="28575"/>
                  <wp:wrapNone/>
                  <wp:docPr id="5" name="Graf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FD24F5">
              <w:trPr>
                <w:trHeight w:val="255"/>
                <w:tblCellSpacing w:w="0" w:type="dxa"/>
              </w:trPr>
              <w:tc>
                <w:tcPr>
                  <w:tcW w:w="960"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bl>
          <w:p w:rsidR="00FD24F5" w:rsidRDefault="00FD24F5">
            <w:pPr>
              <w:rPr>
                <w:rFonts w:ascii="Arial" w:hAnsi="Arial" w:cs="Arial"/>
                <w:sz w:val="20"/>
                <w:szCs w:val="20"/>
              </w:rPr>
            </w:pPr>
          </w:p>
        </w:tc>
        <w:tc>
          <w:tcPr>
            <w:tcW w:w="105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36"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52"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03"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r w:rsidR="00FD24F5" w:rsidTr="00FD24F5">
        <w:trPr>
          <w:gridAfter w:val="1"/>
          <w:wAfter w:w="272" w:type="dxa"/>
          <w:trHeight w:val="255"/>
        </w:trPr>
        <w:tc>
          <w:tcPr>
            <w:tcW w:w="1664"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36"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52"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03"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r w:rsidR="00FD24F5" w:rsidTr="00FD24F5">
        <w:trPr>
          <w:gridAfter w:val="1"/>
          <w:wAfter w:w="272" w:type="dxa"/>
          <w:trHeight w:val="255"/>
        </w:trPr>
        <w:tc>
          <w:tcPr>
            <w:tcW w:w="1664"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36"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52"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03"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r w:rsidR="00FD24F5" w:rsidTr="00FD24F5">
        <w:trPr>
          <w:gridAfter w:val="1"/>
          <w:wAfter w:w="272" w:type="dxa"/>
          <w:trHeight w:val="255"/>
        </w:trPr>
        <w:tc>
          <w:tcPr>
            <w:tcW w:w="1664"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36"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52"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03"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r w:rsidR="00FD24F5" w:rsidTr="00FD24F5">
        <w:trPr>
          <w:gridAfter w:val="1"/>
          <w:wAfter w:w="272" w:type="dxa"/>
          <w:trHeight w:val="255"/>
        </w:trPr>
        <w:tc>
          <w:tcPr>
            <w:tcW w:w="1664"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36"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52"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03"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r w:rsidR="00FD24F5" w:rsidTr="00FD24F5">
        <w:trPr>
          <w:gridAfter w:val="1"/>
          <w:wAfter w:w="272" w:type="dxa"/>
          <w:trHeight w:val="255"/>
        </w:trPr>
        <w:tc>
          <w:tcPr>
            <w:tcW w:w="1664"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36"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52"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03"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r w:rsidR="00FD24F5" w:rsidTr="00FD24F5">
        <w:trPr>
          <w:gridAfter w:val="1"/>
          <w:wAfter w:w="272" w:type="dxa"/>
          <w:trHeight w:val="255"/>
        </w:trPr>
        <w:tc>
          <w:tcPr>
            <w:tcW w:w="1664"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36"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52"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03"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r w:rsidR="00FD24F5" w:rsidTr="00FD24F5">
        <w:trPr>
          <w:gridAfter w:val="1"/>
          <w:wAfter w:w="272" w:type="dxa"/>
          <w:trHeight w:val="255"/>
        </w:trPr>
        <w:tc>
          <w:tcPr>
            <w:tcW w:w="1664"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36"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52"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03"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r w:rsidR="00FD24F5" w:rsidTr="00FD24F5">
        <w:trPr>
          <w:gridAfter w:val="1"/>
          <w:wAfter w:w="272" w:type="dxa"/>
          <w:trHeight w:val="255"/>
        </w:trPr>
        <w:tc>
          <w:tcPr>
            <w:tcW w:w="1664"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36"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52"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03"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r w:rsidR="00FD24F5" w:rsidTr="00FD24F5">
        <w:trPr>
          <w:gridAfter w:val="1"/>
          <w:wAfter w:w="272" w:type="dxa"/>
          <w:trHeight w:val="255"/>
        </w:trPr>
        <w:tc>
          <w:tcPr>
            <w:tcW w:w="1664"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36"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52"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03"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r w:rsidR="00FD24F5" w:rsidTr="00FD24F5">
        <w:trPr>
          <w:gridAfter w:val="1"/>
          <w:wAfter w:w="272" w:type="dxa"/>
          <w:trHeight w:val="255"/>
        </w:trPr>
        <w:tc>
          <w:tcPr>
            <w:tcW w:w="1664"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36"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52"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03"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r w:rsidR="00FD24F5" w:rsidTr="00FD24F5">
        <w:trPr>
          <w:gridAfter w:val="1"/>
          <w:wAfter w:w="272" w:type="dxa"/>
          <w:trHeight w:val="255"/>
        </w:trPr>
        <w:tc>
          <w:tcPr>
            <w:tcW w:w="1664"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36"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52"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03"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r w:rsidR="00FD24F5" w:rsidTr="00FD24F5">
        <w:trPr>
          <w:gridAfter w:val="1"/>
          <w:wAfter w:w="272" w:type="dxa"/>
          <w:trHeight w:val="255"/>
        </w:trPr>
        <w:tc>
          <w:tcPr>
            <w:tcW w:w="1664"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36"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52"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03"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r w:rsidR="00FD24F5" w:rsidTr="00FD24F5">
        <w:trPr>
          <w:gridAfter w:val="1"/>
          <w:wAfter w:w="272" w:type="dxa"/>
          <w:trHeight w:val="255"/>
        </w:trPr>
        <w:tc>
          <w:tcPr>
            <w:tcW w:w="1664"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36"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52"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03"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r w:rsidR="00FD24F5" w:rsidTr="00FD24F5">
        <w:trPr>
          <w:gridAfter w:val="1"/>
          <w:wAfter w:w="272" w:type="dxa"/>
          <w:trHeight w:val="255"/>
        </w:trPr>
        <w:tc>
          <w:tcPr>
            <w:tcW w:w="1664"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36"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52"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03"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r w:rsidR="00FD24F5" w:rsidTr="00FD24F5">
        <w:trPr>
          <w:gridAfter w:val="1"/>
          <w:wAfter w:w="272" w:type="dxa"/>
          <w:trHeight w:val="255"/>
        </w:trPr>
        <w:tc>
          <w:tcPr>
            <w:tcW w:w="1664"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36"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52"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03"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r w:rsidR="00FD24F5" w:rsidTr="00FD24F5">
        <w:trPr>
          <w:gridAfter w:val="1"/>
          <w:wAfter w:w="272" w:type="dxa"/>
          <w:trHeight w:val="255"/>
        </w:trPr>
        <w:tc>
          <w:tcPr>
            <w:tcW w:w="1664"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36"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52"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03"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r w:rsidR="00FD24F5" w:rsidTr="00FD24F5">
        <w:trPr>
          <w:gridAfter w:val="1"/>
          <w:wAfter w:w="272" w:type="dxa"/>
          <w:trHeight w:val="255"/>
        </w:trPr>
        <w:tc>
          <w:tcPr>
            <w:tcW w:w="1664"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36"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52"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03"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r w:rsidR="00FD24F5" w:rsidTr="00FD24F5">
        <w:trPr>
          <w:gridAfter w:val="1"/>
          <w:wAfter w:w="272" w:type="dxa"/>
          <w:trHeight w:val="255"/>
        </w:trPr>
        <w:tc>
          <w:tcPr>
            <w:tcW w:w="1664"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36"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52"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03"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r w:rsidR="00FD24F5" w:rsidTr="00FD24F5">
        <w:trPr>
          <w:gridAfter w:val="1"/>
          <w:wAfter w:w="272" w:type="dxa"/>
          <w:trHeight w:val="255"/>
        </w:trPr>
        <w:tc>
          <w:tcPr>
            <w:tcW w:w="1664"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36"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52"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03"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r w:rsidR="00FD24F5" w:rsidTr="00FD24F5">
        <w:trPr>
          <w:gridAfter w:val="1"/>
          <w:wAfter w:w="272" w:type="dxa"/>
          <w:trHeight w:val="255"/>
        </w:trPr>
        <w:tc>
          <w:tcPr>
            <w:tcW w:w="1664"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36"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52"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03"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r w:rsidR="00FD24F5" w:rsidTr="00FD24F5">
        <w:trPr>
          <w:gridAfter w:val="1"/>
          <w:wAfter w:w="272" w:type="dxa"/>
          <w:trHeight w:val="255"/>
        </w:trPr>
        <w:tc>
          <w:tcPr>
            <w:tcW w:w="1664"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36"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52"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03"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r w:rsidR="00FD24F5" w:rsidTr="00FD24F5">
        <w:trPr>
          <w:gridAfter w:val="1"/>
          <w:wAfter w:w="272" w:type="dxa"/>
          <w:trHeight w:val="255"/>
        </w:trPr>
        <w:tc>
          <w:tcPr>
            <w:tcW w:w="1664"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36"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52"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03"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r w:rsidR="00FD24F5" w:rsidTr="00FD24F5">
        <w:trPr>
          <w:gridAfter w:val="1"/>
          <w:wAfter w:w="272" w:type="dxa"/>
          <w:trHeight w:val="255"/>
        </w:trPr>
        <w:tc>
          <w:tcPr>
            <w:tcW w:w="1664"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36"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52"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03"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r w:rsidR="00FD24F5" w:rsidTr="00FD24F5">
        <w:trPr>
          <w:gridAfter w:val="1"/>
          <w:wAfter w:w="272" w:type="dxa"/>
          <w:trHeight w:val="255"/>
        </w:trPr>
        <w:tc>
          <w:tcPr>
            <w:tcW w:w="1664"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36"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52"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03"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r w:rsidR="00FD24F5" w:rsidTr="00FD24F5">
        <w:trPr>
          <w:gridAfter w:val="1"/>
          <w:wAfter w:w="272" w:type="dxa"/>
          <w:trHeight w:val="255"/>
        </w:trPr>
        <w:tc>
          <w:tcPr>
            <w:tcW w:w="1664"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36"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52"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03"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r w:rsidR="00FD24F5" w:rsidTr="00FD24F5">
        <w:trPr>
          <w:gridAfter w:val="1"/>
          <w:wAfter w:w="272" w:type="dxa"/>
          <w:trHeight w:val="255"/>
        </w:trPr>
        <w:tc>
          <w:tcPr>
            <w:tcW w:w="1664"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36"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52"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03"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r w:rsidR="00FD24F5" w:rsidTr="00FD24F5">
        <w:trPr>
          <w:gridAfter w:val="1"/>
          <w:wAfter w:w="272" w:type="dxa"/>
          <w:trHeight w:val="255"/>
        </w:trPr>
        <w:tc>
          <w:tcPr>
            <w:tcW w:w="1664"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36"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52"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03"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r w:rsidR="00FD24F5" w:rsidTr="00FD24F5">
        <w:trPr>
          <w:gridAfter w:val="1"/>
          <w:wAfter w:w="272" w:type="dxa"/>
          <w:trHeight w:val="255"/>
        </w:trPr>
        <w:tc>
          <w:tcPr>
            <w:tcW w:w="1664"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36"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52"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03"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r w:rsidR="00FD24F5" w:rsidTr="00FD24F5">
        <w:trPr>
          <w:gridAfter w:val="1"/>
          <w:wAfter w:w="272" w:type="dxa"/>
          <w:trHeight w:val="255"/>
        </w:trPr>
        <w:tc>
          <w:tcPr>
            <w:tcW w:w="1664"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36"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52"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03"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r w:rsidR="00FD24F5" w:rsidTr="00FD24F5">
        <w:trPr>
          <w:gridAfter w:val="1"/>
          <w:wAfter w:w="272" w:type="dxa"/>
          <w:trHeight w:val="255"/>
        </w:trPr>
        <w:tc>
          <w:tcPr>
            <w:tcW w:w="1664"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6"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36"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952"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c>
          <w:tcPr>
            <w:tcW w:w="803" w:type="dxa"/>
            <w:gridSpan w:val="3"/>
            <w:tcBorders>
              <w:top w:val="nil"/>
              <w:left w:val="nil"/>
              <w:bottom w:val="nil"/>
              <w:right w:val="nil"/>
            </w:tcBorders>
            <w:shd w:val="clear" w:color="auto" w:fill="auto"/>
            <w:noWrap/>
            <w:vAlign w:val="bottom"/>
            <w:hideMark/>
          </w:tcPr>
          <w:p w:rsidR="00FD24F5" w:rsidRDefault="00FD24F5">
            <w:pPr>
              <w:rPr>
                <w:rFonts w:ascii="Arial" w:hAnsi="Arial" w:cs="Arial"/>
                <w:sz w:val="20"/>
                <w:szCs w:val="20"/>
              </w:rPr>
            </w:pPr>
          </w:p>
        </w:tc>
      </w:tr>
    </w:tbl>
    <w:p w:rsidR="00FD24F5" w:rsidRPr="00D800D8" w:rsidRDefault="00FD24F5" w:rsidP="00742E30">
      <w:pPr>
        <w:jc w:val="both"/>
        <w:rPr>
          <w:i/>
          <w:sz w:val="20"/>
          <w:szCs w:val="20"/>
        </w:rPr>
      </w:pPr>
    </w:p>
    <w:sectPr w:rsidR="00FD24F5" w:rsidRPr="00D800D8" w:rsidSect="00FD24F5">
      <w:pgSz w:w="11906" w:h="16838"/>
      <w:pgMar w:top="102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5FEB"/>
    <w:multiLevelType w:val="hybridMultilevel"/>
    <w:tmpl w:val="7DEA1C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3B07448A"/>
    <w:multiLevelType w:val="multilevel"/>
    <w:tmpl w:val="62BAF182"/>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3C973A89"/>
    <w:multiLevelType w:val="hybridMultilevel"/>
    <w:tmpl w:val="337C8348"/>
    <w:lvl w:ilvl="0" w:tplc="0405000F">
      <w:start w:val="1"/>
      <w:numFmt w:val="decimal"/>
      <w:lvlText w:val="%1."/>
      <w:lvlJc w:val="left"/>
      <w:pPr>
        <w:tabs>
          <w:tab w:val="num" w:pos="930"/>
        </w:tabs>
        <w:ind w:left="930" w:hanging="360"/>
      </w:pPr>
    </w:lvl>
    <w:lvl w:ilvl="1" w:tplc="04050019" w:tentative="1">
      <w:start w:val="1"/>
      <w:numFmt w:val="lowerLetter"/>
      <w:lvlText w:val="%2."/>
      <w:lvlJc w:val="left"/>
      <w:pPr>
        <w:tabs>
          <w:tab w:val="num" w:pos="1650"/>
        </w:tabs>
        <w:ind w:left="1650" w:hanging="360"/>
      </w:pPr>
    </w:lvl>
    <w:lvl w:ilvl="2" w:tplc="0405001B" w:tentative="1">
      <w:start w:val="1"/>
      <w:numFmt w:val="lowerRoman"/>
      <w:lvlText w:val="%3."/>
      <w:lvlJc w:val="right"/>
      <w:pPr>
        <w:tabs>
          <w:tab w:val="num" w:pos="2370"/>
        </w:tabs>
        <w:ind w:left="2370" w:hanging="180"/>
      </w:pPr>
    </w:lvl>
    <w:lvl w:ilvl="3" w:tplc="0405000F" w:tentative="1">
      <w:start w:val="1"/>
      <w:numFmt w:val="decimal"/>
      <w:lvlText w:val="%4."/>
      <w:lvlJc w:val="left"/>
      <w:pPr>
        <w:tabs>
          <w:tab w:val="num" w:pos="3090"/>
        </w:tabs>
        <w:ind w:left="3090" w:hanging="360"/>
      </w:pPr>
    </w:lvl>
    <w:lvl w:ilvl="4" w:tplc="04050019" w:tentative="1">
      <w:start w:val="1"/>
      <w:numFmt w:val="lowerLetter"/>
      <w:lvlText w:val="%5."/>
      <w:lvlJc w:val="left"/>
      <w:pPr>
        <w:tabs>
          <w:tab w:val="num" w:pos="3810"/>
        </w:tabs>
        <w:ind w:left="3810" w:hanging="360"/>
      </w:pPr>
    </w:lvl>
    <w:lvl w:ilvl="5" w:tplc="0405001B" w:tentative="1">
      <w:start w:val="1"/>
      <w:numFmt w:val="lowerRoman"/>
      <w:lvlText w:val="%6."/>
      <w:lvlJc w:val="right"/>
      <w:pPr>
        <w:tabs>
          <w:tab w:val="num" w:pos="4530"/>
        </w:tabs>
        <w:ind w:left="4530" w:hanging="180"/>
      </w:pPr>
    </w:lvl>
    <w:lvl w:ilvl="6" w:tplc="0405000F" w:tentative="1">
      <w:start w:val="1"/>
      <w:numFmt w:val="decimal"/>
      <w:lvlText w:val="%7."/>
      <w:lvlJc w:val="left"/>
      <w:pPr>
        <w:tabs>
          <w:tab w:val="num" w:pos="5250"/>
        </w:tabs>
        <w:ind w:left="5250" w:hanging="360"/>
      </w:pPr>
    </w:lvl>
    <w:lvl w:ilvl="7" w:tplc="04050019" w:tentative="1">
      <w:start w:val="1"/>
      <w:numFmt w:val="lowerLetter"/>
      <w:lvlText w:val="%8."/>
      <w:lvlJc w:val="left"/>
      <w:pPr>
        <w:tabs>
          <w:tab w:val="num" w:pos="5970"/>
        </w:tabs>
        <w:ind w:left="5970" w:hanging="360"/>
      </w:pPr>
    </w:lvl>
    <w:lvl w:ilvl="8" w:tplc="0405001B" w:tentative="1">
      <w:start w:val="1"/>
      <w:numFmt w:val="lowerRoman"/>
      <w:lvlText w:val="%9."/>
      <w:lvlJc w:val="right"/>
      <w:pPr>
        <w:tabs>
          <w:tab w:val="num" w:pos="6690"/>
        </w:tabs>
        <w:ind w:left="6690" w:hanging="180"/>
      </w:pPr>
    </w:lvl>
  </w:abstractNum>
  <w:abstractNum w:abstractNumId="3">
    <w:nsid w:val="491E3DE0"/>
    <w:multiLevelType w:val="hybridMultilevel"/>
    <w:tmpl w:val="4F38664E"/>
    <w:lvl w:ilvl="0" w:tplc="0405000F">
      <w:start w:val="1"/>
      <w:numFmt w:val="decimal"/>
      <w:lvlText w:val="%1."/>
      <w:lvlJc w:val="left"/>
      <w:pPr>
        <w:ind w:left="930" w:hanging="360"/>
      </w:p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4">
    <w:nsid w:val="53216985"/>
    <w:multiLevelType w:val="multilevel"/>
    <w:tmpl w:val="EFC02E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584A4B9D"/>
    <w:multiLevelType w:val="hybridMultilevel"/>
    <w:tmpl w:val="13F88E4C"/>
    <w:lvl w:ilvl="0" w:tplc="AE0C84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1CA554A"/>
    <w:multiLevelType w:val="hybridMultilevel"/>
    <w:tmpl w:val="0002BB2E"/>
    <w:lvl w:ilvl="0" w:tplc="0405000F">
      <w:start w:val="1"/>
      <w:numFmt w:val="decimal"/>
      <w:lvlText w:val="%1."/>
      <w:lvlJc w:val="left"/>
      <w:pPr>
        <w:tabs>
          <w:tab w:val="num" w:pos="890"/>
        </w:tabs>
        <w:ind w:left="890" w:hanging="360"/>
      </w:pPr>
    </w:lvl>
    <w:lvl w:ilvl="1" w:tplc="04050019" w:tentative="1">
      <w:start w:val="1"/>
      <w:numFmt w:val="lowerLetter"/>
      <w:lvlText w:val="%2."/>
      <w:lvlJc w:val="left"/>
      <w:pPr>
        <w:tabs>
          <w:tab w:val="num" w:pos="1610"/>
        </w:tabs>
        <w:ind w:left="1610" w:hanging="360"/>
      </w:pPr>
    </w:lvl>
    <w:lvl w:ilvl="2" w:tplc="0405001B" w:tentative="1">
      <w:start w:val="1"/>
      <w:numFmt w:val="lowerRoman"/>
      <w:lvlText w:val="%3."/>
      <w:lvlJc w:val="right"/>
      <w:pPr>
        <w:tabs>
          <w:tab w:val="num" w:pos="2330"/>
        </w:tabs>
        <w:ind w:left="2330" w:hanging="180"/>
      </w:pPr>
    </w:lvl>
    <w:lvl w:ilvl="3" w:tplc="0405000F" w:tentative="1">
      <w:start w:val="1"/>
      <w:numFmt w:val="decimal"/>
      <w:lvlText w:val="%4."/>
      <w:lvlJc w:val="left"/>
      <w:pPr>
        <w:tabs>
          <w:tab w:val="num" w:pos="3050"/>
        </w:tabs>
        <w:ind w:left="3050" w:hanging="360"/>
      </w:pPr>
    </w:lvl>
    <w:lvl w:ilvl="4" w:tplc="04050019" w:tentative="1">
      <w:start w:val="1"/>
      <w:numFmt w:val="lowerLetter"/>
      <w:lvlText w:val="%5."/>
      <w:lvlJc w:val="left"/>
      <w:pPr>
        <w:tabs>
          <w:tab w:val="num" w:pos="3770"/>
        </w:tabs>
        <w:ind w:left="3770" w:hanging="360"/>
      </w:pPr>
    </w:lvl>
    <w:lvl w:ilvl="5" w:tplc="0405001B" w:tentative="1">
      <w:start w:val="1"/>
      <w:numFmt w:val="lowerRoman"/>
      <w:lvlText w:val="%6."/>
      <w:lvlJc w:val="right"/>
      <w:pPr>
        <w:tabs>
          <w:tab w:val="num" w:pos="4490"/>
        </w:tabs>
        <w:ind w:left="4490" w:hanging="180"/>
      </w:pPr>
    </w:lvl>
    <w:lvl w:ilvl="6" w:tplc="0405000F" w:tentative="1">
      <w:start w:val="1"/>
      <w:numFmt w:val="decimal"/>
      <w:lvlText w:val="%7."/>
      <w:lvlJc w:val="left"/>
      <w:pPr>
        <w:tabs>
          <w:tab w:val="num" w:pos="5210"/>
        </w:tabs>
        <w:ind w:left="5210" w:hanging="360"/>
      </w:pPr>
    </w:lvl>
    <w:lvl w:ilvl="7" w:tplc="04050019" w:tentative="1">
      <w:start w:val="1"/>
      <w:numFmt w:val="lowerLetter"/>
      <w:lvlText w:val="%8."/>
      <w:lvlJc w:val="left"/>
      <w:pPr>
        <w:tabs>
          <w:tab w:val="num" w:pos="5930"/>
        </w:tabs>
        <w:ind w:left="5930" w:hanging="360"/>
      </w:pPr>
    </w:lvl>
    <w:lvl w:ilvl="8" w:tplc="0405001B" w:tentative="1">
      <w:start w:val="1"/>
      <w:numFmt w:val="lowerRoman"/>
      <w:lvlText w:val="%9."/>
      <w:lvlJc w:val="right"/>
      <w:pPr>
        <w:tabs>
          <w:tab w:val="num" w:pos="6650"/>
        </w:tabs>
        <w:ind w:left="6650" w:hanging="180"/>
      </w:pPr>
    </w:lvl>
  </w:abstractNum>
  <w:abstractNum w:abstractNumId="7">
    <w:nsid w:val="6EFC022F"/>
    <w:multiLevelType w:val="hybridMultilevel"/>
    <w:tmpl w:val="0356729E"/>
    <w:lvl w:ilvl="0" w:tplc="04050001">
      <w:start w:val="1"/>
      <w:numFmt w:val="bullet"/>
      <w:lvlText w:val=""/>
      <w:lvlJc w:val="left"/>
      <w:pPr>
        <w:ind w:left="1610" w:hanging="360"/>
      </w:pPr>
      <w:rPr>
        <w:rFonts w:ascii="Symbol" w:hAnsi="Symbol" w:hint="default"/>
      </w:rPr>
    </w:lvl>
    <w:lvl w:ilvl="1" w:tplc="04050003" w:tentative="1">
      <w:start w:val="1"/>
      <w:numFmt w:val="bullet"/>
      <w:lvlText w:val="o"/>
      <w:lvlJc w:val="left"/>
      <w:pPr>
        <w:ind w:left="2330" w:hanging="360"/>
      </w:pPr>
      <w:rPr>
        <w:rFonts w:ascii="Courier New" w:hAnsi="Courier New" w:cs="Courier New" w:hint="default"/>
      </w:rPr>
    </w:lvl>
    <w:lvl w:ilvl="2" w:tplc="04050005" w:tentative="1">
      <w:start w:val="1"/>
      <w:numFmt w:val="bullet"/>
      <w:lvlText w:val=""/>
      <w:lvlJc w:val="left"/>
      <w:pPr>
        <w:ind w:left="3050" w:hanging="360"/>
      </w:pPr>
      <w:rPr>
        <w:rFonts w:ascii="Wingdings" w:hAnsi="Wingdings" w:hint="default"/>
      </w:rPr>
    </w:lvl>
    <w:lvl w:ilvl="3" w:tplc="04050001" w:tentative="1">
      <w:start w:val="1"/>
      <w:numFmt w:val="bullet"/>
      <w:lvlText w:val=""/>
      <w:lvlJc w:val="left"/>
      <w:pPr>
        <w:ind w:left="3770" w:hanging="360"/>
      </w:pPr>
      <w:rPr>
        <w:rFonts w:ascii="Symbol" w:hAnsi="Symbol" w:hint="default"/>
      </w:rPr>
    </w:lvl>
    <w:lvl w:ilvl="4" w:tplc="04050003" w:tentative="1">
      <w:start w:val="1"/>
      <w:numFmt w:val="bullet"/>
      <w:lvlText w:val="o"/>
      <w:lvlJc w:val="left"/>
      <w:pPr>
        <w:ind w:left="4490" w:hanging="360"/>
      </w:pPr>
      <w:rPr>
        <w:rFonts w:ascii="Courier New" w:hAnsi="Courier New" w:cs="Courier New" w:hint="default"/>
      </w:rPr>
    </w:lvl>
    <w:lvl w:ilvl="5" w:tplc="04050005" w:tentative="1">
      <w:start w:val="1"/>
      <w:numFmt w:val="bullet"/>
      <w:lvlText w:val=""/>
      <w:lvlJc w:val="left"/>
      <w:pPr>
        <w:ind w:left="5210" w:hanging="360"/>
      </w:pPr>
      <w:rPr>
        <w:rFonts w:ascii="Wingdings" w:hAnsi="Wingdings" w:hint="default"/>
      </w:rPr>
    </w:lvl>
    <w:lvl w:ilvl="6" w:tplc="04050001" w:tentative="1">
      <w:start w:val="1"/>
      <w:numFmt w:val="bullet"/>
      <w:lvlText w:val=""/>
      <w:lvlJc w:val="left"/>
      <w:pPr>
        <w:ind w:left="5930" w:hanging="360"/>
      </w:pPr>
      <w:rPr>
        <w:rFonts w:ascii="Symbol" w:hAnsi="Symbol" w:hint="default"/>
      </w:rPr>
    </w:lvl>
    <w:lvl w:ilvl="7" w:tplc="04050003" w:tentative="1">
      <w:start w:val="1"/>
      <w:numFmt w:val="bullet"/>
      <w:lvlText w:val="o"/>
      <w:lvlJc w:val="left"/>
      <w:pPr>
        <w:ind w:left="6650" w:hanging="360"/>
      </w:pPr>
      <w:rPr>
        <w:rFonts w:ascii="Courier New" w:hAnsi="Courier New" w:cs="Courier New" w:hint="default"/>
      </w:rPr>
    </w:lvl>
    <w:lvl w:ilvl="8" w:tplc="04050005" w:tentative="1">
      <w:start w:val="1"/>
      <w:numFmt w:val="bullet"/>
      <w:lvlText w:val=""/>
      <w:lvlJc w:val="left"/>
      <w:pPr>
        <w:ind w:left="7370" w:hanging="360"/>
      </w:pPr>
      <w:rPr>
        <w:rFonts w:ascii="Wingdings" w:hAnsi="Wingdings" w:hint="default"/>
      </w:rPr>
    </w:lvl>
  </w:abstractNum>
  <w:abstractNum w:abstractNumId="8">
    <w:nsid w:val="7B46098F"/>
    <w:multiLevelType w:val="hybridMultilevel"/>
    <w:tmpl w:val="904C26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4"/>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86C"/>
    <w:rsid w:val="00003193"/>
    <w:rsid w:val="00007DBB"/>
    <w:rsid w:val="000513BA"/>
    <w:rsid w:val="00060ABB"/>
    <w:rsid w:val="000664FF"/>
    <w:rsid w:val="000756FE"/>
    <w:rsid w:val="000A1373"/>
    <w:rsid w:val="000A2285"/>
    <w:rsid w:val="000A541D"/>
    <w:rsid w:val="000D4D7E"/>
    <w:rsid w:val="000D7CB8"/>
    <w:rsid w:val="000E7B9B"/>
    <w:rsid w:val="0010213D"/>
    <w:rsid w:val="00103652"/>
    <w:rsid w:val="00106133"/>
    <w:rsid w:val="00125184"/>
    <w:rsid w:val="00135244"/>
    <w:rsid w:val="00153120"/>
    <w:rsid w:val="00177461"/>
    <w:rsid w:val="00186FD4"/>
    <w:rsid w:val="001B5229"/>
    <w:rsid w:val="001B601E"/>
    <w:rsid w:val="001C3042"/>
    <w:rsid w:val="001D3818"/>
    <w:rsid w:val="001E558A"/>
    <w:rsid w:val="001F7B16"/>
    <w:rsid w:val="002234E9"/>
    <w:rsid w:val="00236210"/>
    <w:rsid w:val="00265D02"/>
    <w:rsid w:val="00291BE6"/>
    <w:rsid w:val="00296170"/>
    <w:rsid w:val="002A08F8"/>
    <w:rsid w:val="002A71DC"/>
    <w:rsid w:val="002B1FA0"/>
    <w:rsid w:val="002B31BA"/>
    <w:rsid w:val="002B3CE7"/>
    <w:rsid w:val="002C6E05"/>
    <w:rsid w:val="00331CCF"/>
    <w:rsid w:val="00333C77"/>
    <w:rsid w:val="00362954"/>
    <w:rsid w:val="003710A7"/>
    <w:rsid w:val="0037729A"/>
    <w:rsid w:val="00381F45"/>
    <w:rsid w:val="00390AAB"/>
    <w:rsid w:val="003A0920"/>
    <w:rsid w:val="003C25A8"/>
    <w:rsid w:val="003C496A"/>
    <w:rsid w:val="003F36CB"/>
    <w:rsid w:val="004300CD"/>
    <w:rsid w:val="00436577"/>
    <w:rsid w:val="00443B2B"/>
    <w:rsid w:val="00462F1D"/>
    <w:rsid w:val="00466E62"/>
    <w:rsid w:val="00467C8F"/>
    <w:rsid w:val="0047301B"/>
    <w:rsid w:val="004A70D5"/>
    <w:rsid w:val="004B3964"/>
    <w:rsid w:val="004C54BE"/>
    <w:rsid w:val="004F25F0"/>
    <w:rsid w:val="004F45AE"/>
    <w:rsid w:val="00544832"/>
    <w:rsid w:val="00554742"/>
    <w:rsid w:val="00557BF1"/>
    <w:rsid w:val="00566B39"/>
    <w:rsid w:val="00571209"/>
    <w:rsid w:val="00582039"/>
    <w:rsid w:val="005D5BCE"/>
    <w:rsid w:val="005F0073"/>
    <w:rsid w:val="005F72F3"/>
    <w:rsid w:val="00602AF6"/>
    <w:rsid w:val="0062182D"/>
    <w:rsid w:val="00642BD5"/>
    <w:rsid w:val="00666C24"/>
    <w:rsid w:val="00672A2B"/>
    <w:rsid w:val="006E6E9A"/>
    <w:rsid w:val="00701D70"/>
    <w:rsid w:val="00703974"/>
    <w:rsid w:val="00703CE1"/>
    <w:rsid w:val="00742E30"/>
    <w:rsid w:val="00760166"/>
    <w:rsid w:val="00761361"/>
    <w:rsid w:val="007653F2"/>
    <w:rsid w:val="007737FE"/>
    <w:rsid w:val="00781E5C"/>
    <w:rsid w:val="007B0D31"/>
    <w:rsid w:val="007D1310"/>
    <w:rsid w:val="007D3DBE"/>
    <w:rsid w:val="007E12C5"/>
    <w:rsid w:val="007E72B8"/>
    <w:rsid w:val="008143D9"/>
    <w:rsid w:val="0083503A"/>
    <w:rsid w:val="0084681A"/>
    <w:rsid w:val="0086086C"/>
    <w:rsid w:val="00872F32"/>
    <w:rsid w:val="00875CAF"/>
    <w:rsid w:val="00894E8F"/>
    <w:rsid w:val="008952BD"/>
    <w:rsid w:val="00897AAF"/>
    <w:rsid w:val="008A0983"/>
    <w:rsid w:val="008A2FB1"/>
    <w:rsid w:val="008A56CA"/>
    <w:rsid w:val="008C0483"/>
    <w:rsid w:val="008C685E"/>
    <w:rsid w:val="008C6BB8"/>
    <w:rsid w:val="008D5AF5"/>
    <w:rsid w:val="008D64DD"/>
    <w:rsid w:val="008F42A6"/>
    <w:rsid w:val="00900F8B"/>
    <w:rsid w:val="00902446"/>
    <w:rsid w:val="00906F32"/>
    <w:rsid w:val="009243D5"/>
    <w:rsid w:val="00932B11"/>
    <w:rsid w:val="00933059"/>
    <w:rsid w:val="00977501"/>
    <w:rsid w:val="009A2DA9"/>
    <w:rsid w:val="009A2FBC"/>
    <w:rsid w:val="009C1881"/>
    <w:rsid w:val="009C20FC"/>
    <w:rsid w:val="009E6305"/>
    <w:rsid w:val="009E7E72"/>
    <w:rsid w:val="00A32B97"/>
    <w:rsid w:val="00A418E6"/>
    <w:rsid w:val="00A730F2"/>
    <w:rsid w:val="00A73170"/>
    <w:rsid w:val="00A73B55"/>
    <w:rsid w:val="00A74803"/>
    <w:rsid w:val="00A91890"/>
    <w:rsid w:val="00AA1612"/>
    <w:rsid w:val="00AA30B7"/>
    <w:rsid w:val="00AA7D19"/>
    <w:rsid w:val="00AB5BBF"/>
    <w:rsid w:val="00AC740D"/>
    <w:rsid w:val="00AE42A9"/>
    <w:rsid w:val="00AF5592"/>
    <w:rsid w:val="00AF6E1B"/>
    <w:rsid w:val="00B06DE7"/>
    <w:rsid w:val="00B16FE4"/>
    <w:rsid w:val="00B31E9A"/>
    <w:rsid w:val="00B375CF"/>
    <w:rsid w:val="00B51BA4"/>
    <w:rsid w:val="00B80EFD"/>
    <w:rsid w:val="00B8584A"/>
    <w:rsid w:val="00BD4E83"/>
    <w:rsid w:val="00BF7826"/>
    <w:rsid w:val="00C10265"/>
    <w:rsid w:val="00C16CF7"/>
    <w:rsid w:val="00C22E61"/>
    <w:rsid w:val="00C32179"/>
    <w:rsid w:val="00C43EA8"/>
    <w:rsid w:val="00C51971"/>
    <w:rsid w:val="00C5275C"/>
    <w:rsid w:val="00C5398A"/>
    <w:rsid w:val="00C629AC"/>
    <w:rsid w:val="00C956DF"/>
    <w:rsid w:val="00CA3D22"/>
    <w:rsid w:val="00CB6F6F"/>
    <w:rsid w:val="00CE53CE"/>
    <w:rsid w:val="00CF6143"/>
    <w:rsid w:val="00D275EE"/>
    <w:rsid w:val="00D41DA0"/>
    <w:rsid w:val="00D62881"/>
    <w:rsid w:val="00D757A5"/>
    <w:rsid w:val="00D800D8"/>
    <w:rsid w:val="00D957EF"/>
    <w:rsid w:val="00D97AA9"/>
    <w:rsid w:val="00DB4C01"/>
    <w:rsid w:val="00DB7FC4"/>
    <w:rsid w:val="00DF0E61"/>
    <w:rsid w:val="00DF27F7"/>
    <w:rsid w:val="00DF346C"/>
    <w:rsid w:val="00DF6596"/>
    <w:rsid w:val="00E34281"/>
    <w:rsid w:val="00E379EE"/>
    <w:rsid w:val="00E46238"/>
    <w:rsid w:val="00E50E57"/>
    <w:rsid w:val="00E526E7"/>
    <w:rsid w:val="00E72895"/>
    <w:rsid w:val="00E8619B"/>
    <w:rsid w:val="00ED41BA"/>
    <w:rsid w:val="00EE42AB"/>
    <w:rsid w:val="00EE625D"/>
    <w:rsid w:val="00EF1A76"/>
    <w:rsid w:val="00F021E6"/>
    <w:rsid w:val="00F36ABF"/>
    <w:rsid w:val="00F37EF9"/>
    <w:rsid w:val="00F5538F"/>
    <w:rsid w:val="00FA08FD"/>
    <w:rsid w:val="00FA43B1"/>
    <w:rsid w:val="00FD04A9"/>
    <w:rsid w:val="00FD24F5"/>
    <w:rsid w:val="00FD2A64"/>
    <w:rsid w:val="00FD5A47"/>
    <w:rsid w:val="00FE64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6086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86086C"/>
    <w:pPr>
      <w:ind w:firstLine="360"/>
    </w:pPr>
    <w:rPr>
      <w:i/>
      <w:sz w:val="20"/>
      <w:szCs w:val="20"/>
    </w:rPr>
  </w:style>
  <w:style w:type="paragraph" w:styleId="Textbubliny">
    <w:name w:val="Balloon Text"/>
    <w:basedOn w:val="Normln"/>
    <w:semiHidden/>
    <w:rsid w:val="00C10265"/>
    <w:rPr>
      <w:rFonts w:ascii="Tahoma" w:hAnsi="Tahoma" w:cs="Tahoma"/>
      <w:sz w:val="16"/>
      <w:szCs w:val="16"/>
    </w:rPr>
  </w:style>
  <w:style w:type="paragraph" w:styleId="Normlnweb">
    <w:name w:val="Normal (Web)"/>
    <w:basedOn w:val="Normln"/>
    <w:uiPriority w:val="99"/>
    <w:unhideWhenUsed/>
    <w:rsid w:val="00FA43B1"/>
    <w:pPr>
      <w:spacing w:before="100" w:beforeAutospacing="1" w:after="100" w:afterAutospacing="1"/>
    </w:pPr>
    <w:rPr>
      <w:rFonts w:eastAsia="Calibri"/>
    </w:rPr>
  </w:style>
  <w:style w:type="paragraph" w:customStyle="1" w:styleId="listparagraph">
    <w:name w:val="listparagraph"/>
    <w:basedOn w:val="Normln"/>
    <w:uiPriority w:val="99"/>
    <w:semiHidden/>
    <w:rsid w:val="00FA43B1"/>
    <w:pPr>
      <w:spacing w:before="100" w:beforeAutospacing="1" w:after="100" w:afterAutospacing="1"/>
    </w:pPr>
    <w:rPr>
      <w:rFonts w:eastAsia="Calibri"/>
    </w:rPr>
  </w:style>
  <w:style w:type="character" w:styleId="Siln">
    <w:name w:val="Strong"/>
    <w:uiPriority w:val="22"/>
    <w:qFormat/>
    <w:rsid w:val="00FA43B1"/>
    <w:rPr>
      <w:b/>
      <w:bCs/>
    </w:rPr>
  </w:style>
  <w:style w:type="character" w:styleId="Zvraznn">
    <w:name w:val="Emphasis"/>
    <w:uiPriority w:val="20"/>
    <w:qFormat/>
    <w:rsid w:val="00FA43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6086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86086C"/>
    <w:pPr>
      <w:ind w:firstLine="360"/>
    </w:pPr>
    <w:rPr>
      <w:i/>
      <w:sz w:val="20"/>
      <w:szCs w:val="20"/>
    </w:rPr>
  </w:style>
  <w:style w:type="paragraph" w:styleId="Textbubliny">
    <w:name w:val="Balloon Text"/>
    <w:basedOn w:val="Normln"/>
    <w:semiHidden/>
    <w:rsid w:val="00C10265"/>
    <w:rPr>
      <w:rFonts w:ascii="Tahoma" w:hAnsi="Tahoma" w:cs="Tahoma"/>
      <w:sz w:val="16"/>
      <w:szCs w:val="16"/>
    </w:rPr>
  </w:style>
  <w:style w:type="paragraph" w:styleId="Normlnweb">
    <w:name w:val="Normal (Web)"/>
    <w:basedOn w:val="Normln"/>
    <w:uiPriority w:val="99"/>
    <w:unhideWhenUsed/>
    <w:rsid w:val="00FA43B1"/>
    <w:pPr>
      <w:spacing w:before="100" w:beforeAutospacing="1" w:after="100" w:afterAutospacing="1"/>
    </w:pPr>
    <w:rPr>
      <w:rFonts w:eastAsia="Calibri"/>
    </w:rPr>
  </w:style>
  <w:style w:type="paragraph" w:customStyle="1" w:styleId="listparagraph">
    <w:name w:val="listparagraph"/>
    <w:basedOn w:val="Normln"/>
    <w:uiPriority w:val="99"/>
    <w:semiHidden/>
    <w:rsid w:val="00FA43B1"/>
    <w:pPr>
      <w:spacing w:before="100" w:beforeAutospacing="1" w:after="100" w:afterAutospacing="1"/>
    </w:pPr>
    <w:rPr>
      <w:rFonts w:eastAsia="Calibri"/>
    </w:rPr>
  </w:style>
  <w:style w:type="character" w:styleId="Siln">
    <w:name w:val="Strong"/>
    <w:uiPriority w:val="22"/>
    <w:qFormat/>
    <w:rsid w:val="00FA43B1"/>
    <w:rPr>
      <w:b/>
      <w:bCs/>
    </w:rPr>
  </w:style>
  <w:style w:type="character" w:styleId="Zvraznn">
    <w:name w:val="Emphasis"/>
    <w:uiPriority w:val="20"/>
    <w:qFormat/>
    <w:rsid w:val="00FA43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9190">
      <w:bodyDiv w:val="1"/>
      <w:marLeft w:val="0"/>
      <w:marRight w:val="0"/>
      <w:marTop w:val="0"/>
      <w:marBottom w:val="0"/>
      <w:divBdr>
        <w:top w:val="none" w:sz="0" w:space="0" w:color="auto"/>
        <w:left w:val="none" w:sz="0" w:space="0" w:color="auto"/>
        <w:bottom w:val="none" w:sz="0" w:space="0" w:color="auto"/>
        <w:right w:val="none" w:sz="0" w:space="0" w:color="auto"/>
      </w:divBdr>
    </w:div>
    <w:div w:id="474688880">
      <w:bodyDiv w:val="1"/>
      <w:marLeft w:val="0"/>
      <w:marRight w:val="0"/>
      <w:marTop w:val="0"/>
      <w:marBottom w:val="0"/>
      <w:divBdr>
        <w:top w:val="none" w:sz="0" w:space="0" w:color="auto"/>
        <w:left w:val="none" w:sz="0" w:space="0" w:color="auto"/>
        <w:bottom w:val="none" w:sz="0" w:space="0" w:color="auto"/>
        <w:right w:val="none" w:sz="0" w:space="0" w:color="auto"/>
      </w:divBdr>
    </w:div>
    <w:div w:id="511528975">
      <w:bodyDiv w:val="1"/>
      <w:marLeft w:val="0"/>
      <w:marRight w:val="0"/>
      <w:marTop w:val="0"/>
      <w:marBottom w:val="0"/>
      <w:divBdr>
        <w:top w:val="none" w:sz="0" w:space="0" w:color="auto"/>
        <w:left w:val="none" w:sz="0" w:space="0" w:color="auto"/>
        <w:bottom w:val="none" w:sz="0" w:space="0" w:color="auto"/>
        <w:right w:val="none" w:sz="0" w:space="0" w:color="auto"/>
      </w:divBdr>
    </w:div>
    <w:div w:id="784496107">
      <w:bodyDiv w:val="1"/>
      <w:marLeft w:val="0"/>
      <w:marRight w:val="0"/>
      <w:marTop w:val="0"/>
      <w:marBottom w:val="0"/>
      <w:divBdr>
        <w:top w:val="none" w:sz="0" w:space="0" w:color="auto"/>
        <w:left w:val="none" w:sz="0" w:space="0" w:color="auto"/>
        <w:bottom w:val="none" w:sz="0" w:space="0" w:color="auto"/>
        <w:right w:val="none" w:sz="0" w:space="0" w:color="auto"/>
      </w:divBdr>
    </w:div>
    <w:div w:id="1125470119">
      <w:bodyDiv w:val="1"/>
      <w:marLeft w:val="0"/>
      <w:marRight w:val="0"/>
      <w:marTop w:val="0"/>
      <w:marBottom w:val="0"/>
      <w:divBdr>
        <w:top w:val="none" w:sz="0" w:space="0" w:color="auto"/>
        <w:left w:val="none" w:sz="0" w:space="0" w:color="auto"/>
        <w:bottom w:val="none" w:sz="0" w:space="0" w:color="auto"/>
        <w:right w:val="none" w:sz="0" w:space="0" w:color="auto"/>
      </w:divBdr>
    </w:div>
    <w:div w:id="1157571442">
      <w:bodyDiv w:val="1"/>
      <w:marLeft w:val="0"/>
      <w:marRight w:val="0"/>
      <w:marTop w:val="0"/>
      <w:marBottom w:val="0"/>
      <w:divBdr>
        <w:top w:val="none" w:sz="0" w:space="0" w:color="auto"/>
        <w:left w:val="none" w:sz="0" w:space="0" w:color="auto"/>
        <w:bottom w:val="none" w:sz="0" w:space="0" w:color="auto"/>
        <w:right w:val="none" w:sz="0" w:space="0" w:color="auto"/>
      </w:divBdr>
    </w:div>
    <w:div w:id="1207986176">
      <w:bodyDiv w:val="1"/>
      <w:marLeft w:val="0"/>
      <w:marRight w:val="0"/>
      <w:marTop w:val="0"/>
      <w:marBottom w:val="0"/>
      <w:divBdr>
        <w:top w:val="none" w:sz="0" w:space="0" w:color="auto"/>
        <w:left w:val="none" w:sz="0" w:space="0" w:color="auto"/>
        <w:bottom w:val="none" w:sz="0" w:space="0" w:color="auto"/>
        <w:right w:val="none" w:sz="0" w:space="0" w:color="auto"/>
      </w:divBdr>
    </w:div>
    <w:div w:id="1382174359">
      <w:bodyDiv w:val="1"/>
      <w:marLeft w:val="0"/>
      <w:marRight w:val="0"/>
      <w:marTop w:val="0"/>
      <w:marBottom w:val="0"/>
      <w:divBdr>
        <w:top w:val="none" w:sz="0" w:space="0" w:color="auto"/>
        <w:left w:val="none" w:sz="0" w:space="0" w:color="auto"/>
        <w:bottom w:val="none" w:sz="0" w:space="0" w:color="auto"/>
        <w:right w:val="none" w:sz="0" w:space="0" w:color="auto"/>
      </w:divBdr>
    </w:div>
    <w:div w:id="1421751814">
      <w:bodyDiv w:val="1"/>
      <w:marLeft w:val="0"/>
      <w:marRight w:val="0"/>
      <w:marTop w:val="0"/>
      <w:marBottom w:val="0"/>
      <w:divBdr>
        <w:top w:val="none" w:sz="0" w:space="0" w:color="auto"/>
        <w:left w:val="none" w:sz="0" w:space="0" w:color="auto"/>
        <w:bottom w:val="none" w:sz="0" w:space="0" w:color="auto"/>
        <w:right w:val="none" w:sz="0" w:space="0" w:color="auto"/>
      </w:divBdr>
    </w:div>
    <w:div w:id="1495337793">
      <w:bodyDiv w:val="1"/>
      <w:marLeft w:val="0"/>
      <w:marRight w:val="0"/>
      <w:marTop w:val="0"/>
      <w:marBottom w:val="0"/>
      <w:divBdr>
        <w:top w:val="none" w:sz="0" w:space="0" w:color="auto"/>
        <w:left w:val="none" w:sz="0" w:space="0" w:color="auto"/>
        <w:bottom w:val="none" w:sz="0" w:space="0" w:color="auto"/>
        <w:right w:val="none" w:sz="0" w:space="0" w:color="auto"/>
      </w:divBdr>
    </w:div>
    <w:div w:id="1988969365">
      <w:bodyDiv w:val="1"/>
      <w:marLeft w:val="0"/>
      <w:marRight w:val="0"/>
      <w:marTop w:val="0"/>
      <w:marBottom w:val="0"/>
      <w:divBdr>
        <w:top w:val="none" w:sz="0" w:space="0" w:color="auto"/>
        <w:left w:val="none" w:sz="0" w:space="0" w:color="auto"/>
        <w:bottom w:val="none" w:sz="0" w:space="0" w:color="auto"/>
        <w:right w:val="none" w:sz="0" w:space="0" w:color="auto"/>
      </w:divBdr>
    </w:div>
    <w:div w:id="200254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yn&#269;lov&#225;\Documents\Rok%202018\Rozpo&#269;et%202018\Rozbor%20p&#345;&#237;jm&#367;%202018.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Kyn&#269;lov&#225;\Documents\Rok%202017\Finance\Pln&#283;n&#237;%20da&#328;ov&#253;ch%20p&#345;&#237;jm&#367;%202014,2015,2016,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yn&#269;lov&#225;\Documents\Rok%202017\Finance\Pln&#283;n&#237;%20da&#328;ov&#253;ch%20p&#345;&#237;jm&#367;%202014,2015,2016,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yn&#269;lov&#225;\Documents\Rok%202017\Finance\Pln&#283;n&#237;%20da&#328;ov&#253;ch%20p&#345;&#237;jm&#367;%202014,2015,2016,20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yn&#269;lov&#225;\Documents\Rok%202017\Finance\Pln&#283;n&#237;%20da&#328;ov&#253;ch%20p&#345;&#237;jm&#367;%202014,2015,2016,201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yn&#269;lov&#225;\Documents\Rok%202017\Finance\Pln&#283;n&#237;%20da&#328;ov&#253;ch%20p&#345;&#237;jm&#367;%202014,2015,2016,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50" b="1" i="0" u="none" strike="noStrike" baseline="0">
                <a:solidFill>
                  <a:srgbClr val="000000"/>
                </a:solidFill>
                <a:latin typeface="Arial CE"/>
                <a:ea typeface="Arial CE"/>
                <a:cs typeface="Arial CE"/>
              </a:defRPr>
            </a:pPr>
            <a:r>
              <a:rPr lang="cs-CZ"/>
              <a:t>Příjmy ze sdílených a výlučných daní 
 v letech 2002-2017, rozpočet 2018</a:t>
            </a:r>
          </a:p>
        </c:rich>
      </c:tx>
      <c:layout>
        <c:manualLayout>
          <c:xMode val="edge"/>
          <c:yMode val="edge"/>
          <c:x val="0.2302262612430363"/>
          <c:y val="1.5384574390130168E-2"/>
        </c:manualLayout>
      </c:layout>
      <c:overlay val="0"/>
      <c:spPr>
        <a:noFill/>
        <a:ln w="25400">
          <a:noFill/>
        </a:ln>
      </c:spPr>
    </c:title>
    <c:autoTitleDeleted val="0"/>
    <c:plotArea>
      <c:layout>
        <c:manualLayout>
          <c:layoutTarget val="inner"/>
          <c:xMode val="edge"/>
          <c:yMode val="edge"/>
          <c:x val="8.6573368052313623E-2"/>
          <c:y val="0.14488277797762589"/>
          <c:w val="0.87853228522836835"/>
          <c:h val="0.75042860314603888"/>
        </c:manualLayout>
      </c:layout>
      <c:lineChart>
        <c:grouping val="stacked"/>
        <c:varyColors val="0"/>
        <c:ser>
          <c:idx val="0"/>
          <c:order val="0"/>
          <c:tx>
            <c:strRef>
              <c:f>'příjem z daní'!$AA$35</c:f>
              <c:strCache>
                <c:ptCount val="1"/>
              </c:strCache>
            </c:strRef>
          </c:tx>
          <c:spPr>
            <a:ln w="12700">
              <a:solidFill>
                <a:srgbClr val="000080"/>
              </a:solidFill>
              <a:prstDash val="solid"/>
            </a:ln>
          </c:spPr>
          <c:marker>
            <c:symbol val="triangle"/>
            <c:size val="5"/>
            <c:spPr>
              <a:solidFill>
                <a:srgbClr val="000080"/>
              </a:solidFill>
              <a:ln>
                <a:solidFill>
                  <a:srgbClr val="000080"/>
                </a:solidFill>
                <a:prstDash val="solid"/>
              </a:ln>
            </c:spPr>
          </c:marker>
          <c:dLbls>
            <c:dLbl>
              <c:idx val="0"/>
              <c:layout>
                <c:manualLayout>
                  <c:x val="-3.6817333816335659E-2"/>
                  <c:y val="-5.708028745028064E-2"/>
                </c:manualLayout>
              </c:layout>
              <c:dLblPos val="r"/>
              <c:showLegendKey val="0"/>
              <c:showVal val="1"/>
              <c:showCatName val="0"/>
              <c:showSerName val="0"/>
              <c:showPercent val="0"/>
              <c:showBubbleSize val="0"/>
            </c:dLbl>
            <c:dLbl>
              <c:idx val="1"/>
              <c:layout>
                <c:manualLayout>
                  <c:x val="-3.0864758505977266E-2"/>
                  <c:y val="-3.4414733691283513E-2"/>
                </c:manualLayout>
              </c:layout>
              <c:dLblPos val="r"/>
              <c:showLegendKey val="0"/>
              <c:showVal val="1"/>
              <c:showCatName val="0"/>
              <c:showSerName val="0"/>
              <c:showPercent val="0"/>
              <c:showBubbleSize val="0"/>
            </c:dLbl>
            <c:dLbl>
              <c:idx val="2"/>
              <c:layout>
                <c:manualLayout>
                  <c:x val="-3.8135589770230634E-2"/>
                  <c:y val="-6.1524367568458568E-2"/>
                </c:manualLayout>
              </c:layout>
              <c:dLblPos val="r"/>
              <c:showLegendKey val="0"/>
              <c:showVal val="1"/>
              <c:showCatName val="0"/>
              <c:showSerName val="0"/>
              <c:showPercent val="0"/>
              <c:showBubbleSize val="0"/>
            </c:dLbl>
            <c:dLbl>
              <c:idx val="3"/>
              <c:layout>
                <c:manualLayout>
                  <c:x val="-4.3032032063185746E-2"/>
                  <c:y val="-4.1178659774127137E-2"/>
                </c:manualLayout>
              </c:layout>
              <c:dLblPos val="r"/>
              <c:showLegendKey val="0"/>
              <c:showVal val="1"/>
              <c:showCatName val="0"/>
              <c:showSerName val="0"/>
              <c:showPercent val="0"/>
              <c:showBubbleSize val="0"/>
            </c:dLbl>
            <c:dLbl>
              <c:idx val="4"/>
              <c:layout>
                <c:manualLayout>
                  <c:x val="-4.4379709453314382E-2"/>
                  <c:y val="-3.5740304035599614E-2"/>
                </c:manualLayout>
              </c:layout>
              <c:dLblPos val="r"/>
              <c:showLegendKey val="0"/>
              <c:showVal val="1"/>
              <c:showCatName val="0"/>
              <c:showSerName val="0"/>
              <c:showPercent val="0"/>
              <c:showBubbleSize val="0"/>
            </c:dLbl>
            <c:dLbl>
              <c:idx val="5"/>
              <c:layout>
                <c:manualLayout>
                  <c:x val="-4.1525479171081271E-2"/>
                  <c:y val="-5.8435081709420543E-2"/>
                </c:manualLayout>
              </c:layout>
              <c:dLblPos val="r"/>
              <c:showLegendKey val="0"/>
              <c:showVal val="1"/>
              <c:showCatName val="0"/>
              <c:showSerName val="0"/>
              <c:showPercent val="0"/>
              <c:showBubbleSize val="0"/>
            </c:dLbl>
            <c:dLbl>
              <c:idx val="6"/>
              <c:layout>
                <c:manualLayout>
                  <c:x val="-4.008354686889435E-2"/>
                  <c:y val="-3.7892268542574312E-2"/>
                </c:manualLayout>
              </c:layout>
              <c:dLblPos val="r"/>
              <c:showLegendKey val="0"/>
              <c:showVal val="1"/>
              <c:showCatName val="0"/>
              <c:showSerName val="0"/>
              <c:showPercent val="0"/>
              <c:showBubbleSize val="0"/>
            </c:dLbl>
            <c:dLbl>
              <c:idx val="7"/>
              <c:layout>
                <c:manualLayout>
                  <c:x val="-5.9377893968787496E-2"/>
                  <c:y val="-3.9370789311234576E-2"/>
                </c:manualLayout>
              </c:layout>
              <c:dLblPos val="r"/>
              <c:showLegendKey val="0"/>
              <c:showVal val="1"/>
              <c:showCatName val="0"/>
              <c:showSerName val="0"/>
              <c:showPercent val="0"/>
              <c:showBubbleSize val="0"/>
            </c:dLbl>
            <c:dLbl>
              <c:idx val="8"/>
              <c:layout>
                <c:manualLayout>
                  <c:x val="-4.8084681114465372E-2"/>
                  <c:y val="-5.0346092525236377E-2"/>
                </c:manualLayout>
              </c:layout>
              <c:dLblPos val="r"/>
              <c:showLegendKey val="0"/>
              <c:showVal val="1"/>
              <c:showCatName val="0"/>
              <c:showSerName val="0"/>
              <c:showPercent val="0"/>
              <c:showBubbleSize val="0"/>
            </c:dLbl>
            <c:dLbl>
              <c:idx val="9"/>
              <c:layout>
                <c:manualLayout>
                  <c:x val="-3.8512201785053546E-2"/>
                  <c:y val="-2.5673465943660514E-2"/>
                </c:manualLayout>
              </c:layout>
              <c:dLblPos val="r"/>
              <c:showLegendKey val="0"/>
              <c:showVal val="1"/>
              <c:showCatName val="0"/>
              <c:showSerName val="0"/>
              <c:showPercent val="0"/>
              <c:showBubbleSize val="0"/>
            </c:dLbl>
            <c:dLbl>
              <c:idx val="10"/>
              <c:layout>
                <c:manualLayout>
                  <c:x val="-5.3949007362222016E-2"/>
                  <c:y val="-2.1532790634673202E-2"/>
                </c:manualLayout>
              </c:layout>
              <c:dLblPos val="r"/>
              <c:showLegendKey val="0"/>
              <c:showVal val="1"/>
              <c:showCatName val="0"/>
              <c:showSerName val="0"/>
              <c:showPercent val="0"/>
              <c:showBubbleSize val="0"/>
            </c:dLbl>
            <c:dLbl>
              <c:idx val="11"/>
              <c:layout>
                <c:manualLayout>
                  <c:x val="-6.6216288181368627E-2"/>
                  <c:y val="-2.3235674220925429E-2"/>
                </c:manualLayout>
              </c:layout>
              <c:dLblPos val="r"/>
              <c:showLegendKey val="0"/>
              <c:showVal val="1"/>
              <c:showCatName val="0"/>
              <c:showSerName val="0"/>
              <c:showPercent val="0"/>
              <c:showBubbleSize val="0"/>
            </c:dLbl>
            <c:dLbl>
              <c:idx val="12"/>
              <c:layout>
                <c:manualLayout>
                  <c:x val="-4.8690810881841351E-2"/>
                  <c:y val="-4.5265154038486306E-2"/>
                </c:manualLayout>
              </c:layout>
              <c:dLblPos val="r"/>
              <c:showLegendKey val="0"/>
              <c:showVal val="1"/>
              <c:showCatName val="0"/>
              <c:showSerName val="0"/>
              <c:showPercent val="0"/>
              <c:showBubbleSize val="0"/>
            </c:dLbl>
            <c:dLbl>
              <c:idx val="13"/>
              <c:layout>
                <c:manualLayout>
                  <c:x val="-4.8210934313394849E-2"/>
                  <c:y val="-4.8508175055281891E-2"/>
                </c:manualLayout>
              </c:layout>
              <c:dLblPos val="r"/>
              <c:showLegendKey val="0"/>
              <c:showVal val="1"/>
              <c:showCatName val="0"/>
              <c:showSerName val="0"/>
              <c:showPercent val="0"/>
              <c:showBubbleSize val="0"/>
            </c:dLbl>
            <c:dLbl>
              <c:idx val="14"/>
              <c:layout>
                <c:manualLayout>
                  <c:x val="-4.0553013877217915E-2"/>
                  <c:y val="-3.7896354326267589E-2"/>
                </c:manualLayout>
              </c:layout>
              <c:spPr>
                <a:solidFill>
                  <a:srgbClr val="FFFFFF"/>
                </a:solidFill>
                <a:ln w="3175">
                  <a:solidFill>
                    <a:srgbClr val="000000"/>
                  </a:solidFill>
                  <a:prstDash val="solid"/>
                </a:ln>
                <a:effectLst>
                  <a:outerShdw dist="35921" dir="2700000" algn="br">
                    <a:srgbClr val="000000"/>
                  </a:outerShdw>
                </a:effectLst>
              </c:spPr>
              <c:txPr>
                <a:bodyPr/>
                <a:lstStyle/>
                <a:p>
                  <a:pPr algn="ctr" rtl="0">
                    <a:defRPr lang="en-US" sz="900" b="1" i="0" u="none" strike="noStrike" kern="1200" baseline="0">
                      <a:solidFill>
                        <a:srgbClr val="000000"/>
                      </a:solidFill>
                      <a:latin typeface="Arial CE"/>
                      <a:ea typeface="Arial CE"/>
                      <a:cs typeface="Arial CE"/>
                    </a:defRPr>
                  </a:pPr>
                  <a:endParaRPr lang="cs-CZ"/>
                </a:p>
              </c:txPr>
              <c:dLblPos val="r"/>
              <c:showLegendKey val="0"/>
              <c:showVal val="1"/>
              <c:showCatName val="0"/>
              <c:showSerName val="0"/>
              <c:showPercent val="0"/>
              <c:showBubbleSize val="0"/>
            </c:dLbl>
            <c:dLbl>
              <c:idx val="15"/>
              <c:layout>
                <c:manualLayout>
                  <c:x val="-2.7970495782888929E-2"/>
                  <c:y val="-3.4188061517691E-2"/>
                </c:manualLayout>
              </c:layout>
              <c:spPr>
                <a:solidFill>
                  <a:srgbClr val="FFFF00"/>
                </a:solidFill>
                <a:ln w="3175">
                  <a:solidFill>
                    <a:srgbClr val="000000"/>
                  </a:solidFill>
                  <a:prstDash val="solid"/>
                </a:ln>
                <a:effectLst>
                  <a:outerShdw dist="35921" dir="2700000" algn="br">
                    <a:srgbClr val="000000"/>
                  </a:outerShdw>
                </a:effectLst>
              </c:spPr>
              <c:txPr>
                <a:bodyPr/>
                <a:lstStyle/>
                <a:p>
                  <a:pPr>
                    <a:defRPr sz="900" b="1" i="0" u="none" strike="noStrike" baseline="0">
                      <a:solidFill>
                        <a:srgbClr val="000000"/>
                      </a:solidFill>
                      <a:latin typeface="Arial CE"/>
                      <a:ea typeface="Arial CE"/>
                      <a:cs typeface="Arial CE"/>
                    </a:defRPr>
                  </a:pPr>
                  <a:endParaRPr lang="cs-CZ"/>
                </a:p>
              </c:txPr>
              <c:dLblPos val="r"/>
              <c:showLegendKey val="0"/>
              <c:showVal val="1"/>
              <c:showCatName val="0"/>
              <c:showSerName val="0"/>
              <c:showPercent val="0"/>
              <c:showBubbleSize val="0"/>
            </c:dLbl>
            <c:dLbl>
              <c:idx val="16"/>
              <c:layout>
                <c:manualLayout>
                  <c:x val="-1.8106995884773661E-2"/>
                  <c:y val="3.6467236467236465E-2"/>
                </c:manualLayout>
              </c:layout>
              <c:dLblPos val="r"/>
              <c:showLegendKey val="0"/>
              <c:showVal val="1"/>
              <c:showCatName val="0"/>
              <c:showSerName val="0"/>
              <c:showPercent val="0"/>
              <c:showBubbleSize val="0"/>
            </c:dLbl>
            <c:spPr>
              <a:solidFill>
                <a:srgbClr val="FFFFFF"/>
              </a:solidFill>
              <a:ln w="3175">
                <a:solidFill>
                  <a:srgbClr val="000000"/>
                </a:solidFill>
                <a:prstDash val="solid"/>
              </a:ln>
              <a:effectLst>
                <a:outerShdw dist="35921" dir="2700000" algn="br">
                  <a:srgbClr val="000000"/>
                </a:outerShdw>
              </a:effectLst>
            </c:spPr>
            <c:txPr>
              <a:bodyPr/>
              <a:lstStyle/>
              <a:p>
                <a:pPr>
                  <a:defRPr sz="900" b="1" i="0" u="none" strike="noStrike" baseline="0">
                    <a:solidFill>
                      <a:srgbClr val="000000"/>
                    </a:solidFill>
                    <a:latin typeface="Arial CE"/>
                    <a:ea typeface="Arial CE"/>
                    <a:cs typeface="Arial CE"/>
                  </a:defRPr>
                </a:pPr>
                <a:endParaRPr lang="cs-CZ"/>
              </a:p>
            </c:txPr>
            <c:showLegendKey val="0"/>
            <c:showVal val="1"/>
            <c:showCatName val="0"/>
            <c:showSerName val="0"/>
            <c:showPercent val="0"/>
            <c:showBubbleSize val="0"/>
            <c:showLeaderLines val="0"/>
          </c:dLbls>
          <c:cat>
            <c:strRef>
              <c:f>'příjem z daní'!$C$3:$T$3</c:f>
              <c:strCach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R 2018</c:v>
                </c:pt>
              </c:strCache>
            </c:strRef>
          </c:cat>
          <c:val>
            <c:numRef>
              <c:f>'příjem z daní'!$C$10:$T$10</c:f>
              <c:numCache>
                <c:formatCode>#,##0</c:formatCode>
                <c:ptCount val="16"/>
                <c:pt idx="0">
                  <c:v>35189</c:v>
                </c:pt>
                <c:pt idx="1">
                  <c:v>38484</c:v>
                </c:pt>
                <c:pt idx="2">
                  <c:v>42398.241999999998</c:v>
                </c:pt>
                <c:pt idx="3">
                  <c:v>41832</c:v>
                </c:pt>
                <c:pt idx="4">
                  <c:v>44396.766989999996</c:v>
                </c:pt>
                <c:pt idx="5">
                  <c:v>49218</c:v>
                </c:pt>
                <c:pt idx="6">
                  <c:v>40252</c:v>
                </c:pt>
                <c:pt idx="7">
                  <c:v>42974</c:v>
                </c:pt>
                <c:pt idx="8">
                  <c:v>42809</c:v>
                </c:pt>
                <c:pt idx="9">
                  <c:v>43330.958019999998</c:v>
                </c:pt>
                <c:pt idx="10">
                  <c:v>56592</c:v>
                </c:pt>
                <c:pt idx="11">
                  <c:v>61084</c:v>
                </c:pt>
                <c:pt idx="12">
                  <c:v>61439</c:v>
                </c:pt>
                <c:pt idx="13">
                  <c:v>66132</c:v>
                </c:pt>
                <c:pt idx="14">
                  <c:v>70933</c:v>
                </c:pt>
                <c:pt idx="15">
                  <c:v>75500</c:v>
                </c:pt>
              </c:numCache>
            </c:numRef>
          </c:val>
          <c:smooth val="0"/>
        </c:ser>
        <c:dLbls>
          <c:showLegendKey val="0"/>
          <c:showVal val="0"/>
          <c:showCatName val="0"/>
          <c:showSerName val="0"/>
          <c:showPercent val="0"/>
          <c:showBubbleSize val="0"/>
        </c:dLbls>
        <c:marker val="1"/>
        <c:smooth val="0"/>
        <c:axId val="42682240"/>
        <c:axId val="42683776"/>
      </c:lineChart>
      <c:catAx>
        <c:axId val="42682240"/>
        <c:scaling>
          <c:orientation val="minMax"/>
        </c:scaling>
        <c:delete val="0"/>
        <c:axPos val="b"/>
        <c:title>
          <c:tx>
            <c:rich>
              <a:bodyPr/>
              <a:lstStyle/>
              <a:p>
                <a:pPr>
                  <a:defRPr sz="1450" b="1" i="0" u="none" strike="noStrike" baseline="0">
                    <a:solidFill>
                      <a:srgbClr val="000000"/>
                    </a:solidFill>
                    <a:latin typeface="Arial CE"/>
                    <a:ea typeface="Arial CE"/>
                    <a:cs typeface="Arial CE"/>
                  </a:defRPr>
                </a:pPr>
                <a:r>
                  <a:rPr lang="cs-CZ"/>
                  <a:t>rok</a:t>
                </a:r>
              </a:p>
            </c:rich>
          </c:tx>
          <c:layout>
            <c:manualLayout>
              <c:xMode val="edge"/>
              <c:yMode val="edge"/>
              <c:x val="0.51271261052842709"/>
              <c:y val="0.936753667212918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Arial CE"/>
                <a:ea typeface="Arial CE"/>
                <a:cs typeface="Arial CE"/>
              </a:defRPr>
            </a:pPr>
            <a:endParaRPr lang="cs-CZ"/>
          </a:p>
        </c:txPr>
        <c:crossAx val="42683776"/>
        <c:crosses val="autoZero"/>
        <c:auto val="1"/>
        <c:lblAlgn val="ctr"/>
        <c:lblOffset val="100"/>
        <c:tickLblSkip val="1"/>
        <c:tickMarkSkip val="1"/>
        <c:noMultiLvlLbl val="0"/>
      </c:catAx>
      <c:valAx>
        <c:axId val="42683776"/>
        <c:scaling>
          <c:orientation val="minMax"/>
          <c:max val="78000"/>
          <c:min val="30000"/>
        </c:scaling>
        <c:delete val="0"/>
        <c:axPos val="l"/>
        <c:majorGridlines>
          <c:spPr>
            <a:ln w="3175">
              <a:solidFill>
                <a:srgbClr val="000000"/>
              </a:solidFill>
              <a:prstDash val="solid"/>
            </a:ln>
          </c:spPr>
        </c:majorGridlines>
        <c:title>
          <c:tx>
            <c:rich>
              <a:bodyPr/>
              <a:lstStyle/>
              <a:p>
                <a:pPr>
                  <a:defRPr sz="900" b="1" i="0" u="none" strike="noStrike" baseline="0">
                    <a:solidFill>
                      <a:srgbClr val="000000"/>
                    </a:solidFill>
                    <a:latin typeface="Arial CE"/>
                    <a:ea typeface="Arial CE"/>
                    <a:cs typeface="Arial CE"/>
                  </a:defRPr>
                </a:pPr>
                <a:r>
                  <a:rPr lang="cs-CZ" sz="900"/>
                  <a:t>tis. Kč</a:t>
                </a:r>
              </a:p>
            </c:rich>
          </c:tx>
          <c:layout>
            <c:manualLayout>
              <c:xMode val="edge"/>
              <c:yMode val="edge"/>
              <c:x val="5.5837249592812756E-2"/>
              <c:y val="4.3499384911911389E-2"/>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Arial CE"/>
                <a:ea typeface="Arial CE"/>
                <a:cs typeface="Arial CE"/>
              </a:defRPr>
            </a:pPr>
            <a:endParaRPr lang="cs-CZ"/>
          </a:p>
        </c:txPr>
        <c:crossAx val="42682240"/>
        <c:crosses val="autoZero"/>
        <c:crossBetween val="between"/>
        <c:majorUnit val="5000"/>
        <c:minorUnit val="400"/>
      </c:valAx>
      <c:spPr>
        <a:solidFill>
          <a:srgbClr val="CCFFCC"/>
        </a:solidFill>
        <a:ln w="3175">
          <a:solidFill>
            <a:srgbClr val="000000"/>
          </a:solidFill>
          <a:prstDash val="solid"/>
        </a:ln>
      </c:spPr>
    </c:plotArea>
    <c:plotVisOnly val="1"/>
    <c:dispBlanksAs val="zero"/>
    <c:showDLblsOverMax val="0"/>
  </c:chart>
  <c:spPr>
    <a:solidFill>
      <a:srgbClr val="CCFFFF"/>
    </a:solidFill>
    <a:ln w="3175">
      <a:solidFill>
        <a:srgbClr val="000000"/>
      </a:solidFill>
      <a:prstDash val="solid"/>
    </a:ln>
    <a:effectLst>
      <a:outerShdw dist="35921" dir="2700000" algn="br">
        <a:srgbClr val="000000"/>
      </a:outerShdw>
    </a:effectLst>
  </c:spPr>
  <c:txPr>
    <a:bodyPr/>
    <a:lstStyle/>
    <a:p>
      <a:pPr>
        <a:defRPr sz="145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cs-CZ"/>
              <a:t>Daňové příjmy v roce 2017</a:t>
            </a:r>
          </a:p>
        </c:rich>
      </c:tx>
      <c:overlay val="0"/>
    </c:title>
    <c:autoTitleDeleted val="0"/>
    <c:plotArea>
      <c:layout>
        <c:manualLayout>
          <c:layoutTarget val="inner"/>
          <c:xMode val="edge"/>
          <c:yMode val="edge"/>
          <c:x val="9.821996007405151E-2"/>
          <c:y val="8.5218702865761692E-2"/>
          <c:w val="0.79926478919340826"/>
          <c:h val="0.80467666654790326"/>
        </c:manualLayout>
      </c:layout>
      <c:barChart>
        <c:barDir val="col"/>
        <c:grouping val="clustered"/>
        <c:varyColors val="0"/>
        <c:ser>
          <c:idx val="1"/>
          <c:order val="0"/>
          <c:tx>
            <c:v>Rozpočet 2015</c:v>
          </c:tx>
          <c:spPr>
            <a:solidFill>
              <a:srgbClr val="802060"/>
            </a:solidFill>
            <a:ln w="12700">
              <a:solidFill>
                <a:srgbClr val="000000"/>
              </a:solidFill>
              <a:prstDash val="solid"/>
            </a:ln>
          </c:spPr>
          <c:invertIfNegative val="0"/>
          <c:val>
            <c:numRef>
              <c:f>'2017'!$B$96:$M$96</c:f>
              <c:numCache>
                <c:formatCode>#,##0</c:formatCode>
                <c:ptCount val="12"/>
                <c:pt idx="0">
                  <c:v>5333.333333333333</c:v>
                </c:pt>
                <c:pt idx="1">
                  <c:v>10666.666666666666</c:v>
                </c:pt>
                <c:pt idx="2">
                  <c:v>16000</c:v>
                </c:pt>
                <c:pt idx="3">
                  <c:v>21333.333333333332</c:v>
                </c:pt>
                <c:pt idx="4">
                  <c:v>26666.666666666668</c:v>
                </c:pt>
                <c:pt idx="5">
                  <c:v>32000</c:v>
                </c:pt>
                <c:pt idx="6">
                  <c:v>37333.333333333336</c:v>
                </c:pt>
                <c:pt idx="7">
                  <c:v>42666.666666666664</c:v>
                </c:pt>
                <c:pt idx="8">
                  <c:v>48000</c:v>
                </c:pt>
                <c:pt idx="9">
                  <c:v>53333.333333333336</c:v>
                </c:pt>
                <c:pt idx="10">
                  <c:v>58666.666666666664</c:v>
                </c:pt>
                <c:pt idx="11">
                  <c:v>64000</c:v>
                </c:pt>
              </c:numCache>
            </c:numRef>
          </c:val>
        </c:ser>
        <c:ser>
          <c:idx val="0"/>
          <c:order val="1"/>
          <c:tx>
            <c:v>Plnění</c:v>
          </c:tx>
          <c:spPr>
            <a:solidFill>
              <a:srgbClr val="8080FF"/>
            </a:solidFill>
            <a:ln w="12700">
              <a:solidFill>
                <a:srgbClr val="000000"/>
              </a:solidFill>
              <a:prstDash val="solid"/>
            </a:ln>
          </c:spPr>
          <c:invertIfNegative val="0"/>
          <c:val>
            <c:numRef>
              <c:f>'2017'!$B$105:$M$105</c:f>
              <c:numCache>
                <c:formatCode>#,##0</c:formatCode>
                <c:ptCount val="12"/>
                <c:pt idx="0">
                  <c:v>4862.5426100000004</c:v>
                </c:pt>
                <c:pt idx="1">
                  <c:v>10157.513629999999</c:v>
                </c:pt>
                <c:pt idx="2">
                  <c:v>15749.96415</c:v>
                </c:pt>
                <c:pt idx="3">
                  <c:v>19639.640430000003</c:v>
                </c:pt>
                <c:pt idx="4">
                  <c:v>24593.052940000005</c:v>
                </c:pt>
                <c:pt idx="5">
                  <c:v>33829.251690000005</c:v>
                </c:pt>
                <c:pt idx="6">
                  <c:v>41283.446300000003</c:v>
                </c:pt>
                <c:pt idx="7">
                  <c:v>46408.732550000001</c:v>
                </c:pt>
                <c:pt idx="8">
                  <c:v>51744.632880000012</c:v>
                </c:pt>
                <c:pt idx="9">
                  <c:v>56703.487190000007</c:v>
                </c:pt>
                <c:pt idx="10">
                  <c:v>62079.63192</c:v>
                </c:pt>
                <c:pt idx="11">
                  <c:v>70932.667530000006</c:v>
                </c:pt>
              </c:numCache>
            </c:numRef>
          </c:val>
        </c:ser>
        <c:dLbls>
          <c:showLegendKey val="0"/>
          <c:showVal val="0"/>
          <c:showCatName val="0"/>
          <c:showSerName val="0"/>
          <c:showPercent val="0"/>
          <c:showBubbleSize val="0"/>
        </c:dLbls>
        <c:gapWidth val="150"/>
        <c:axId val="67209856"/>
        <c:axId val="67219840"/>
      </c:barChart>
      <c:lineChart>
        <c:grouping val="standard"/>
        <c:varyColors val="0"/>
        <c:ser>
          <c:idx val="2"/>
          <c:order val="2"/>
          <c:tx>
            <c:v>Rozdíl</c:v>
          </c:tx>
          <c:spPr>
            <a:ln w="12700">
              <a:solidFill>
                <a:srgbClr val="000000"/>
              </a:solidFill>
              <a:prstDash val="solid"/>
            </a:ln>
          </c:spPr>
          <c:marker>
            <c:symbol val="triangle"/>
            <c:size val="5"/>
            <c:spPr>
              <a:solidFill>
                <a:srgbClr val="000000"/>
              </a:solidFill>
              <a:ln>
                <a:solidFill>
                  <a:srgbClr val="FFFF00"/>
                </a:solidFill>
                <a:prstDash val="solid"/>
              </a:ln>
            </c:spPr>
          </c:marker>
          <c:dLbls>
            <c:dLbl>
              <c:idx val="9"/>
              <c:layout>
                <c:manualLayout>
                  <c:x val="-4.5457384125326877E-2"/>
                  <c:y val="-2.8363321100699543E-2"/>
                </c:manualLayout>
              </c:layout>
              <c:dLblPos val="r"/>
              <c:showLegendKey val="0"/>
              <c:showVal val="1"/>
              <c:showCatName val="0"/>
              <c:showSerName val="0"/>
              <c:showPercent val="0"/>
              <c:showBubbleSize val="0"/>
            </c:dLbl>
            <c:dLbl>
              <c:idx val="10"/>
              <c:layout>
                <c:manualLayout>
                  <c:x val="-3.8090901620722824E-2"/>
                  <c:y val="-3.741309485635564E-2"/>
                </c:manualLayout>
              </c:layout>
              <c:dLblPos val="r"/>
              <c:showLegendKey val="0"/>
              <c:showVal val="1"/>
              <c:showCatName val="0"/>
              <c:showSerName val="0"/>
              <c:showPercent val="0"/>
              <c:showBubbleSize val="0"/>
            </c:dLbl>
            <c:dLbl>
              <c:idx val="11"/>
              <c:layout>
                <c:manualLayout>
                  <c:x val="-9.1283092375883959E-2"/>
                  <c:y val="-1.6296956093158052E-2"/>
                </c:manualLayout>
              </c:layout>
              <c:dLblPos val="r"/>
              <c:showLegendKey val="0"/>
              <c:showVal val="1"/>
              <c:showCatName val="0"/>
              <c:showSerName val="0"/>
              <c:showPercent val="0"/>
              <c:showBubbleSize val="0"/>
            </c:dLbl>
            <c:numFmt formatCode="#,##0_ ;[Red]\-#,##0\ " sourceLinked="0"/>
            <c:spPr>
              <a:noFill/>
              <a:ln w="25400">
                <a:noFill/>
              </a:ln>
            </c:spPr>
            <c:txPr>
              <a:bodyPr/>
              <a:lstStyle/>
              <a:p>
                <a:pPr>
                  <a:defRPr sz="800" b="1" i="0" u="none" strike="noStrike" baseline="0">
                    <a:solidFill>
                      <a:srgbClr val="000000"/>
                    </a:solidFill>
                    <a:latin typeface="Arial"/>
                    <a:ea typeface="Arial"/>
                    <a:cs typeface="Arial"/>
                  </a:defRPr>
                </a:pPr>
                <a:endParaRPr lang="cs-CZ"/>
              </a:p>
            </c:txPr>
            <c:dLblPos val="b"/>
            <c:showLegendKey val="0"/>
            <c:showVal val="1"/>
            <c:showCatName val="0"/>
            <c:showSerName val="0"/>
            <c:showPercent val="0"/>
            <c:showBubbleSize val="0"/>
            <c:showLeaderLines val="0"/>
          </c:dLbls>
          <c:val>
            <c:numRef>
              <c:f>'2017'!$B$106:$M$106</c:f>
              <c:numCache>
                <c:formatCode>#,##0</c:formatCode>
                <c:ptCount val="12"/>
                <c:pt idx="0">
                  <c:v>-470.79072333333261</c:v>
                </c:pt>
                <c:pt idx="1">
                  <c:v>-509.15303666666659</c:v>
                </c:pt>
                <c:pt idx="2">
                  <c:v>-250.03585000000021</c:v>
                </c:pt>
                <c:pt idx="3">
                  <c:v>-1693.692903333329</c:v>
                </c:pt>
                <c:pt idx="4">
                  <c:v>-2073.6137266666628</c:v>
                </c:pt>
                <c:pt idx="5">
                  <c:v>1829.2516900000046</c:v>
                </c:pt>
                <c:pt idx="6">
                  <c:v>3950.1129666666675</c:v>
                </c:pt>
                <c:pt idx="7">
                  <c:v>3742.0658833333364</c:v>
                </c:pt>
                <c:pt idx="8">
                  <c:v>3744.6328800000119</c:v>
                </c:pt>
                <c:pt idx="9">
                  <c:v>3370.1538566666713</c:v>
                </c:pt>
                <c:pt idx="10">
                  <c:v>3412.9652533333356</c:v>
                </c:pt>
                <c:pt idx="11">
                  <c:v>6932.6675300000061</c:v>
                </c:pt>
              </c:numCache>
            </c:numRef>
          </c:val>
          <c:smooth val="0"/>
        </c:ser>
        <c:dLbls>
          <c:showLegendKey val="0"/>
          <c:showVal val="0"/>
          <c:showCatName val="0"/>
          <c:showSerName val="0"/>
          <c:showPercent val="0"/>
          <c:showBubbleSize val="0"/>
        </c:dLbls>
        <c:marker val="1"/>
        <c:smooth val="0"/>
        <c:axId val="67221376"/>
        <c:axId val="67222912"/>
      </c:lineChart>
      <c:catAx>
        <c:axId val="67209856"/>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cs-CZ"/>
          </a:p>
        </c:txPr>
        <c:crossAx val="67219840"/>
        <c:crosses val="autoZero"/>
        <c:auto val="0"/>
        <c:lblAlgn val="ctr"/>
        <c:lblOffset val="100"/>
        <c:tickLblSkip val="1"/>
        <c:tickMarkSkip val="1"/>
        <c:noMultiLvlLbl val="0"/>
      </c:catAx>
      <c:valAx>
        <c:axId val="67219840"/>
        <c:scaling>
          <c:orientation val="minMax"/>
          <c:max val="70000"/>
          <c:min val="0"/>
        </c:scaling>
        <c:delete val="0"/>
        <c:axPos val="l"/>
        <c:numFmt formatCode="#,##0"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cs-CZ"/>
          </a:p>
        </c:txPr>
        <c:crossAx val="67209856"/>
        <c:crosses val="autoZero"/>
        <c:crossBetween val="between"/>
      </c:valAx>
      <c:catAx>
        <c:axId val="67221376"/>
        <c:scaling>
          <c:orientation val="minMax"/>
        </c:scaling>
        <c:delete val="1"/>
        <c:axPos val="b"/>
        <c:majorTickMark val="out"/>
        <c:minorTickMark val="none"/>
        <c:tickLblPos val="nextTo"/>
        <c:crossAx val="67222912"/>
        <c:crosses val="autoZero"/>
        <c:auto val="0"/>
        <c:lblAlgn val="ctr"/>
        <c:lblOffset val="100"/>
        <c:noMultiLvlLbl val="0"/>
      </c:catAx>
      <c:valAx>
        <c:axId val="67222912"/>
        <c:scaling>
          <c:orientation val="minMax"/>
          <c:max val="8000"/>
          <c:min val="-18000"/>
        </c:scaling>
        <c:delete val="0"/>
        <c:axPos val="r"/>
        <c:numFmt formatCode="#,##0"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cs-CZ"/>
          </a:p>
        </c:txPr>
        <c:crossAx val="67221376"/>
        <c:crosses val="max"/>
        <c:crossBetween val="between"/>
        <c:majorUnit val="2000"/>
      </c:valAx>
      <c:spPr>
        <a:solidFill>
          <a:srgbClr val="FFFFC0"/>
        </a:solidFill>
        <a:ln w="12700">
          <a:solidFill>
            <a:srgbClr val="808080"/>
          </a:solidFill>
          <a:prstDash val="solid"/>
        </a:ln>
      </c:spPr>
    </c:plotArea>
    <c:legend>
      <c:legendPos val="b"/>
      <c:layout>
        <c:manualLayout>
          <c:xMode val="edge"/>
          <c:yMode val="edge"/>
          <c:x val="0.27071861873619385"/>
          <c:y val="0.93966912506977351"/>
          <c:w val="0.44713814088156112"/>
          <c:h val="5.7880547736962717E-2"/>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cs-CZ"/>
        </a:p>
      </c:txPr>
    </c:legend>
    <c:plotVisOnly val="1"/>
    <c:dispBlanksAs val="gap"/>
    <c:showDLblsOverMax val="0"/>
  </c:chart>
  <c:spPr>
    <a:solidFill>
      <a:srgbClr val="FFFFFF"/>
    </a:solidFill>
    <a:ln w="3175">
      <a:solidFill>
        <a:srgbClr val="000000"/>
      </a:solidFill>
      <a:prstDash val="solid"/>
    </a:ln>
    <a:effectLst>
      <a:outerShdw dist="35921" dir="2700000" algn="br">
        <a:srgbClr val="000000"/>
      </a:outerShdw>
    </a:effectLst>
  </c:spPr>
  <c:txPr>
    <a:bodyPr/>
    <a:lstStyle/>
    <a:p>
      <a:pPr>
        <a:defRPr sz="1000" b="0" i="0" u="none" strike="noStrike" baseline="0">
          <a:solidFill>
            <a:srgbClr val="000000"/>
          </a:solidFill>
          <a:latin typeface="Arial"/>
          <a:ea typeface="Arial"/>
          <a:cs typeface="Arial"/>
        </a:defRPr>
      </a:pPr>
      <a:endParaRPr lang="cs-CZ"/>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cs-CZ"/>
              <a:t>Plnění rozpočtu jednotlivých daní k 31.12.2017
</a:t>
            </a:r>
          </a:p>
        </c:rich>
      </c:tx>
      <c:layout>
        <c:manualLayout>
          <c:xMode val="edge"/>
          <c:yMode val="edge"/>
          <c:x val="0.1749543461763412"/>
          <c:y val="1.8726591760299626E-3"/>
        </c:manualLayout>
      </c:layout>
      <c:overlay val="0"/>
      <c:spPr>
        <a:noFill/>
        <a:ln w="25400">
          <a:noFill/>
        </a:ln>
      </c:spPr>
    </c:title>
    <c:autoTitleDeleted val="0"/>
    <c:plotArea>
      <c:layout>
        <c:manualLayout>
          <c:layoutTarget val="inner"/>
          <c:xMode val="edge"/>
          <c:yMode val="edge"/>
          <c:x val="9.2081159208862798E-2"/>
          <c:y val="0.10744626584081909"/>
          <c:w val="0.89318761004332492"/>
          <c:h val="0.82209888170587864"/>
        </c:manualLayout>
      </c:layout>
      <c:barChart>
        <c:barDir val="col"/>
        <c:grouping val="clustered"/>
        <c:varyColors val="0"/>
        <c:ser>
          <c:idx val="0"/>
          <c:order val="0"/>
          <c:tx>
            <c:v>Rozpočet</c:v>
          </c:tx>
          <c:spPr>
            <a:solidFill>
              <a:srgbClr val="802060"/>
            </a:solidFill>
            <a:ln w="12700">
              <a:solidFill>
                <a:srgbClr val="000000"/>
              </a:solidFill>
              <a:prstDash val="solid"/>
            </a:ln>
          </c:spPr>
          <c:invertIfNegative val="0"/>
          <c:dLbls>
            <c:dLbl>
              <c:idx val="0"/>
              <c:layout>
                <c:manualLayout>
                  <c:x val="-9.1058309674488698E-3"/>
                  <c:y val="-8.4276545917362641E-4"/>
                </c:manualLayout>
              </c:layout>
              <c:dLblPos val="outEnd"/>
              <c:showLegendKey val="0"/>
              <c:showVal val="1"/>
              <c:showCatName val="0"/>
              <c:showSerName val="0"/>
              <c:showPercent val="0"/>
              <c:showBubbleSize val="0"/>
            </c:dLbl>
            <c:dLbl>
              <c:idx val="4"/>
              <c:layout>
                <c:manualLayout>
                  <c:x val="-1.5244751864580464E-2"/>
                  <c:y val="-2.2862170318597816E-2"/>
                </c:manualLayout>
              </c:layout>
              <c:dLblPos val="outEnd"/>
              <c:showLegendKey val="0"/>
              <c:showVal val="1"/>
              <c:showCatName val="0"/>
              <c:showSerName val="0"/>
              <c:showPercent val="0"/>
              <c:showBubbleSize val="0"/>
            </c:dLbl>
            <c:dLbl>
              <c:idx val="5"/>
              <c:layout>
                <c:manualLayout>
                  <c:x val="-7.571042569954999E-3"/>
                  <c:y val="-1.829799364966928E-3"/>
                </c:manualLayout>
              </c:layout>
              <c:dLblPos val="outEnd"/>
              <c:showLegendKey val="0"/>
              <c:showVal val="1"/>
              <c:showCatName val="0"/>
              <c:showSerName val="0"/>
              <c:showPercent val="0"/>
              <c:showBubbleSize val="0"/>
            </c:dLbl>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cs-CZ"/>
              </a:p>
            </c:txPr>
            <c:showLegendKey val="0"/>
            <c:showVal val="1"/>
            <c:showCatName val="0"/>
            <c:showSerName val="0"/>
            <c:showPercent val="0"/>
            <c:showBubbleSize val="0"/>
            <c:showLeaderLines val="0"/>
          </c:dLbls>
          <c:cat>
            <c:strRef>
              <c:f>'2017'!$A$99:$A$104</c:f>
              <c:strCache>
                <c:ptCount val="6"/>
                <c:pt idx="0">
                  <c:v>závislá č.</c:v>
                </c:pt>
                <c:pt idx="1">
                  <c:v>FO z přiznání</c:v>
                </c:pt>
                <c:pt idx="2">
                  <c:v>srážková</c:v>
                </c:pt>
                <c:pt idx="3">
                  <c:v>právnické o.</c:v>
                </c:pt>
                <c:pt idx="4">
                  <c:v>DPH</c:v>
                </c:pt>
                <c:pt idx="5">
                  <c:v>nemovitost</c:v>
                </c:pt>
              </c:strCache>
            </c:strRef>
          </c:cat>
          <c:val>
            <c:numRef>
              <c:f>'2017'!$M$90:$M$95</c:f>
              <c:numCache>
                <c:formatCode>#,##0</c:formatCode>
                <c:ptCount val="6"/>
                <c:pt idx="0">
                  <c:v>15600</c:v>
                </c:pt>
                <c:pt idx="1">
                  <c:v>300</c:v>
                </c:pt>
                <c:pt idx="2">
                  <c:v>1400.0000000000002</c:v>
                </c:pt>
                <c:pt idx="3">
                  <c:v>14200.000000000002</c:v>
                </c:pt>
                <c:pt idx="4">
                  <c:v>28500</c:v>
                </c:pt>
                <c:pt idx="5">
                  <c:v>4000.0000000000005</c:v>
                </c:pt>
              </c:numCache>
            </c:numRef>
          </c:val>
        </c:ser>
        <c:ser>
          <c:idx val="1"/>
          <c:order val="1"/>
          <c:tx>
            <c:v>Plnění </c:v>
          </c:tx>
          <c:spPr>
            <a:solidFill>
              <a:srgbClr val="8080FF"/>
            </a:solidFill>
            <a:ln w="12700">
              <a:solidFill>
                <a:srgbClr val="000000"/>
              </a:solidFill>
              <a:prstDash val="solid"/>
            </a:ln>
          </c:spPr>
          <c:invertIfNegative val="0"/>
          <c:dLbls>
            <c:dLbl>
              <c:idx val="1"/>
              <c:layout>
                <c:manualLayout>
                  <c:x val="7.878082214614902E-3"/>
                  <c:y val="-3.945483336488695E-3"/>
                </c:manualLayout>
              </c:layout>
              <c:dLblPos val="outEnd"/>
              <c:showLegendKey val="0"/>
              <c:showVal val="1"/>
              <c:showCatName val="0"/>
              <c:showSerName val="0"/>
              <c:showPercent val="0"/>
              <c:showBubbleSize val="0"/>
            </c:dLbl>
            <c:dLbl>
              <c:idx val="3"/>
              <c:layout>
                <c:manualLayout>
                  <c:x val="8.4918990277310195E-3"/>
                  <c:y val="-8.335236425617709E-4"/>
                </c:manualLayout>
              </c:layout>
              <c:dLblPos val="outEnd"/>
              <c:showLegendKey val="0"/>
              <c:showVal val="1"/>
              <c:showCatName val="0"/>
              <c:showSerName val="0"/>
              <c:showPercent val="0"/>
              <c:showBubbleSize val="0"/>
            </c:dLbl>
            <c:dLbl>
              <c:idx val="4"/>
              <c:layout>
                <c:manualLayout>
                  <c:x val="6.9571690279046612E-3"/>
                  <c:y val="-2.2225367896428677E-2"/>
                </c:manualLayout>
              </c:layout>
              <c:dLblPos val="outEnd"/>
              <c:showLegendKey val="0"/>
              <c:showVal val="1"/>
              <c:showCatName val="0"/>
              <c:showSerName val="0"/>
              <c:showPercent val="0"/>
              <c:showBubbleSize val="0"/>
            </c:dLbl>
            <c:dLbl>
              <c:idx val="5"/>
              <c:layout>
                <c:manualLayout>
                  <c:x val="2.4554941682013503E-3"/>
                  <c:y val="-9.9875156054932256E-3"/>
                </c:manualLayout>
              </c:layout>
              <c:dLblPos val="outEnd"/>
              <c:showLegendKey val="0"/>
              <c:showVal val="1"/>
              <c:showCatName val="0"/>
              <c:showSerName val="0"/>
              <c:showPercent val="0"/>
              <c:showBubbleSize val="0"/>
            </c:dLbl>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cs-CZ"/>
              </a:p>
            </c:txPr>
            <c:showLegendKey val="0"/>
            <c:showVal val="1"/>
            <c:showCatName val="0"/>
            <c:showSerName val="0"/>
            <c:showPercent val="0"/>
            <c:showBubbleSize val="0"/>
            <c:showLeaderLines val="0"/>
          </c:dLbls>
          <c:cat>
            <c:strRef>
              <c:f>'2017'!$A$99:$A$104</c:f>
              <c:strCache>
                <c:ptCount val="6"/>
                <c:pt idx="0">
                  <c:v>závislá č.</c:v>
                </c:pt>
                <c:pt idx="1">
                  <c:v>FO z přiznání</c:v>
                </c:pt>
                <c:pt idx="2">
                  <c:v>srážková</c:v>
                </c:pt>
                <c:pt idx="3">
                  <c:v>právnické o.</c:v>
                </c:pt>
                <c:pt idx="4">
                  <c:v>DPH</c:v>
                </c:pt>
                <c:pt idx="5">
                  <c:v>nemovitost</c:v>
                </c:pt>
              </c:strCache>
            </c:strRef>
          </c:cat>
          <c:val>
            <c:numRef>
              <c:f>'2017'!$M$99:$M$104</c:f>
              <c:numCache>
                <c:formatCode>#,##0</c:formatCode>
                <c:ptCount val="6"/>
                <c:pt idx="0">
                  <c:v>17400.161529999994</c:v>
                </c:pt>
                <c:pt idx="1">
                  <c:v>508.58938000000001</c:v>
                </c:pt>
                <c:pt idx="2">
                  <c:v>1474.28802</c:v>
                </c:pt>
                <c:pt idx="3">
                  <c:v>15696.434590000001</c:v>
                </c:pt>
                <c:pt idx="4">
                  <c:v>31835.764300000003</c:v>
                </c:pt>
                <c:pt idx="5">
                  <c:v>4017.4297100000003</c:v>
                </c:pt>
              </c:numCache>
            </c:numRef>
          </c:val>
        </c:ser>
        <c:dLbls>
          <c:showLegendKey val="0"/>
          <c:showVal val="0"/>
          <c:showCatName val="0"/>
          <c:showSerName val="0"/>
          <c:showPercent val="0"/>
          <c:showBubbleSize val="0"/>
        </c:dLbls>
        <c:gapWidth val="100"/>
        <c:axId val="105510784"/>
        <c:axId val="105512320"/>
      </c:barChart>
      <c:catAx>
        <c:axId val="1055107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cs-CZ"/>
          </a:p>
        </c:txPr>
        <c:crossAx val="105512320"/>
        <c:crosses val="autoZero"/>
        <c:auto val="0"/>
        <c:lblAlgn val="ctr"/>
        <c:lblOffset val="100"/>
        <c:tickLblSkip val="1"/>
        <c:tickMarkSkip val="1"/>
        <c:noMultiLvlLbl val="0"/>
      </c:catAx>
      <c:valAx>
        <c:axId val="105512320"/>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cs-CZ"/>
                  <a:t>tis. Kč</a:t>
                </a:r>
              </a:p>
            </c:rich>
          </c:tx>
          <c:layout>
            <c:manualLayout>
              <c:xMode val="edge"/>
              <c:yMode val="edge"/>
              <c:x val="3.3149171270718231E-2"/>
              <c:y val="1.8726591760299626E-2"/>
            </c:manualLayout>
          </c:layout>
          <c:overlay val="0"/>
          <c:spPr>
            <a:noFill/>
            <a:ln w="25400">
              <a:noFill/>
            </a:ln>
          </c:spPr>
        </c:title>
        <c:numFmt formatCode="#,##0" sourceLinked="1"/>
        <c:majorTickMark val="out"/>
        <c:minorTickMark val="none"/>
        <c:tickLblPos val="nextTo"/>
        <c:spPr>
          <a:ln w="3175">
            <a:solidFill>
              <a:srgbClr val="000000"/>
            </a:solidFill>
            <a:prstDash val="solid"/>
          </a:ln>
          <a:effectLst>
            <a:outerShdw blurRad="50800" dist="50800" dir="5400000" sx="1000" sy="1000" algn="ctr" rotWithShape="0">
              <a:srgbClr val="000000"/>
            </a:outerShdw>
          </a:effectLst>
        </c:spPr>
        <c:txPr>
          <a:bodyPr rot="0" vert="horz"/>
          <a:lstStyle/>
          <a:p>
            <a:pPr>
              <a:defRPr sz="800" b="1" i="0" u="none" strike="noStrike" baseline="0">
                <a:solidFill>
                  <a:srgbClr val="000000"/>
                </a:solidFill>
                <a:latin typeface="Times New Roman"/>
                <a:ea typeface="Times New Roman"/>
                <a:cs typeface="Times New Roman"/>
              </a:defRPr>
            </a:pPr>
            <a:endParaRPr lang="cs-CZ"/>
          </a:p>
        </c:txPr>
        <c:crossAx val="105510784"/>
        <c:crosses val="autoZero"/>
        <c:crossBetween val="between"/>
        <c:majorUnit val="2000"/>
      </c:valAx>
      <c:spPr>
        <a:solidFill>
          <a:srgbClr val="FFFFC0"/>
        </a:solidFill>
        <a:ln w="12700">
          <a:solidFill>
            <a:srgbClr val="FFFFFF"/>
          </a:solidFill>
          <a:prstDash val="solid"/>
        </a:ln>
      </c:spPr>
    </c:plotArea>
    <c:legend>
      <c:legendPos val="t"/>
      <c:legendEntry>
        <c:idx val="0"/>
        <c:txPr>
          <a:bodyPr/>
          <a:lstStyle/>
          <a:p>
            <a:pPr>
              <a:defRPr sz="900" b="0" i="0" u="none" strike="noStrike" baseline="0">
                <a:solidFill>
                  <a:srgbClr val="000000"/>
                </a:solidFill>
                <a:latin typeface="Times New Roman"/>
                <a:ea typeface="Times New Roman"/>
                <a:cs typeface="Times New Roman"/>
              </a:defRPr>
            </a:pPr>
            <a:endParaRPr lang="cs-CZ"/>
          </a:p>
        </c:txPr>
      </c:legendEntry>
      <c:legendEntry>
        <c:idx val="1"/>
        <c:txPr>
          <a:bodyPr/>
          <a:lstStyle/>
          <a:p>
            <a:pPr>
              <a:defRPr sz="900" b="0" i="0" u="none" strike="noStrike" baseline="0">
                <a:solidFill>
                  <a:srgbClr val="000000"/>
                </a:solidFill>
                <a:latin typeface="Times New Roman"/>
                <a:ea typeface="Times New Roman"/>
                <a:cs typeface="Times New Roman"/>
              </a:defRPr>
            </a:pPr>
            <a:endParaRPr lang="cs-CZ"/>
          </a:p>
        </c:txPr>
      </c:legendEntry>
      <c:layout>
        <c:manualLayout>
          <c:xMode val="edge"/>
          <c:yMode val="edge"/>
          <c:x val="0.35607352948284782"/>
          <c:y val="0.17533083645443195"/>
          <c:w val="0.28048626518370284"/>
          <c:h val="6.1221308010655978E-2"/>
        </c:manualLayout>
      </c:layout>
      <c:overlay val="0"/>
      <c:spPr>
        <a:solidFill>
          <a:srgbClr val="FFFFFF"/>
        </a:solidFill>
        <a:ln w="3175">
          <a:solidFill>
            <a:srgbClr val="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cs-CZ"/>
        </a:p>
      </c:txPr>
    </c:legend>
    <c:plotVisOnly val="1"/>
    <c:dispBlanksAs val="gap"/>
    <c:showDLblsOverMax val="0"/>
  </c:chart>
  <c:spPr>
    <a:solidFill>
      <a:srgbClr val="FFFFFF"/>
    </a:solidFill>
    <a:ln w="3175">
      <a:solidFill>
        <a:srgbClr val="000000"/>
      </a:solidFill>
      <a:prstDash val="solid"/>
    </a:ln>
    <a:effectLst>
      <a:outerShdw dist="35921" dir="2700000" algn="br">
        <a:srgbClr val="000000"/>
      </a:outerShdw>
    </a:effectLst>
  </c:spPr>
  <c:txPr>
    <a:bodyPr/>
    <a:lstStyle/>
    <a:p>
      <a:pPr>
        <a:defRPr sz="1200" b="0" i="0" u="none" strike="noStrike" baseline="0">
          <a:solidFill>
            <a:srgbClr val="000000"/>
          </a:solidFill>
          <a:latin typeface="Times New Roman"/>
          <a:ea typeface="Times New Roman"/>
          <a:cs typeface="Times New Roman"/>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cs-CZ"/>
              <a:t>Daňové příjmy města v roce 2014,2015,2016,2017</a:t>
            </a:r>
          </a:p>
        </c:rich>
      </c:tx>
      <c:layout>
        <c:manualLayout>
          <c:xMode val="edge"/>
          <c:yMode val="edge"/>
          <c:x val="0.14854464047609023"/>
          <c:y val="4.7945205479452052E-2"/>
        </c:manualLayout>
      </c:layout>
      <c:overlay val="0"/>
      <c:spPr>
        <a:noFill/>
        <a:ln w="25400">
          <a:noFill/>
        </a:ln>
      </c:spPr>
    </c:title>
    <c:autoTitleDeleted val="0"/>
    <c:plotArea>
      <c:layout>
        <c:manualLayout>
          <c:layoutTarget val="inner"/>
          <c:xMode val="edge"/>
          <c:yMode val="edge"/>
          <c:x val="0.15686301815782741"/>
          <c:y val="0.11643855087246975"/>
          <c:w val="0.67558049865700665"/>
          <c:h val="0.72260394806150352"/>
        </c:manualLayout>
      </c:layout>
      <c:barChart>
        <c:barDir val="col"/>
        <c:grouping val="clustered"/>
        <c:varyColors val="0"/>
        <c:ser>
          <c:idx val="0"/>
          <c:order val="0"/>
          <c:tx>
            <c:v>rok 2014</c:v>
          </c:tx>
          <c:spPr>
            <a:solidFill>
              <a:srgbClr val="8080FF"/>
            </a:solidFill>
            <a:ln w="12700">
              <a:solidFill>
                <a:srgbClr val="000000"/>
              </a:solidFill>
              <a:prstDash val="solid"/>
            </a:ln>
          </c:spPr>
          <c:invertIfNegative val="0"/>
          <c:val>
            <c:numRef>
              <c:f>'2017'!$B$77:$M$77</c:f>
              <c:numCache>
                <c:formatCode>#,##0</c:formatCode>
                <c:ptCount val="12"/>
                <c:pt idx="0">
                  <c:v>5266.7970800000003</c:v>
                </c:pt>
                <c:pt idx="1">
                  <c:v>10754.50008</c:v>
                </c:pt>
                <c:pt idx="2">
                  <c:v>14746.335080000001</c:v>
                </c:pt>
                <c:pt idx="3">
                  <c:v>18954.02608</c:v>
                </c:pt>
                <c:pt idx="4">
                  <c:v>22866.727079999997</c:v>
                </c:pt>
                <c:pt idx="5">
                  <c:v>29407.300079999997</c:v>
                </c:pt>
                <c:pt idx="6">
                  <c:v>36689.286279999993</c:v>
                </c:pt>
                <c:pt idx="7">
                  <c:v>41017.020279999997</c:v>
                </c:pt>
                <c:pt idx="8">
                  <c:v>45852.466250000005</c:v>
                </c:pt>
                <c:pt idx="9">
                  <c:v>49270.649250000002</c:v>
                </c:pt>
                <c:pt idx="10">
                  <c:v>53994.518249999994</c:v>
                </c:pt>
                <c:pt idx="11">
                  <c:v>61083.75258</c:v>
                </c:pt>
              </c:numCache>
            </c:numRef>
          </c:val>
        </c:ser>
        <c:ser>
          <c:idx val="3"/>
          <c:order val="1"/>
          <c:tx>
            <c:v>rok 2015</c:v>
          </c:tx>
          <c:spPr>
            <a:solidFill>
              <a:srgbClr val="00FFFF"/>
            </a:solidFill>
            <a:ln w="12700">
              <a:solidFill>
                <a:srgbClr val="000000"/>
              </a:solidFill>
              <a:prstDash val="solid"/>
            </a:ln>
          </c:spPr>
          <c:invertIfNegative val="0"/>
          <c:val>
            <c:numRef>
              <c:f>'2017'!$B$58:$M$58</c:f>
              <c:numCache>
                <c:formatCode>#,##0</c:formatCode>
                <c:ptCount val="12"/>
                <c:pt idx="0">
                  <c:v>4181.7454499999994</c:v>
                </c:pt>
                <c:pt idx="1">
                  <c:v>9013.4332200000008</c:v>
                </c:pt>
                <c:pt idx="2">
                  <c:v>12492.890940000003</c:v>
                </c:pt>
                <c:pt idx="3">
                  <c:v>16898.649170000004</c:v>
                </c:pt>
                <c:pt idx="4">
                  <c:v>21023.708000000002</c:v>
                </c:pt>
                <c:pt idx="5">
                  <c:v>28707.228680000004</c:v>
                </c:pt>
                <c:pt idx="6">
                  <c:v>35319.824750000007</c:v>
                </c:pt>
                <c:pt idx="7">
                  <c:v>39907.852610000009</c:v>
                </c:pt>
                <c:pt idx="8">
                  <c:v>44973.266060000002</c:v>
                </c:pt>
                <c:pt idx="9">
                  <c:v>48646.086540000004</c:v>
                </c:pt>
                <c:pt idx="10">
                  <c:v>53516.131480000011</c:v>
                </c:pt>
                <c:pt idx="11">
                  <c:v>61438.608790000013</c:v>
                </c:pt>
              </c:numCache>
            </c:numRef>
          </c:val>
        </c:ser>
        <c:ser>
          <c:idx val="1"/>
          <c:order val="2"/>
          <c:tx>
            <c:v>rok 2016</c:v>
          </c:tx>
          <c:spPr>
            <a:solidFill>
              <a:srgbClr val="FFFFC0"/>
            </a:solidFill>
            <a:ln w="12700">
              <a:solidFill>
                <a:srgbClr val="000000"/>
              </a:solidFill>
              <a:prstDash val="solid"/>
            </a:ln>
          </c:spPr>
          <c:invertIfNegative val="0"/>
          <c:val>
            <c:numRef>
              <c:f>'2017'!$B$30:$M$30</c:f>
              <c:numCache>
                <c:formatCode>#,##0</c:formatCode>
                <c:ptCount val="12"/>
                <c:pt idx="0">
                  <c:v>4550.5299100000002</c:v>
                </c:pt>
                <c:pt idx="1">
                  <c:v>9380.85563</c:v>
                </c:pt>
                <c:pt idx="2">
                  <c:v>14139.399659999999</c:v>
                </c:pt>
                <c:pt idx="3">
                  <c:v>18153.989600000001</c:v>
                </c:pt>
                <c:pt idx="4">
                  <c:v>22163.661200000002</c:v>
                </c:pt>
                <c:pt idx="5">
                  <c:v>30712.082739999998</c:v>
                </c:pt>
                <c:pt idx="6">
                  <c:v>37719.945190000006</c:v>
                </c:pt>
                <c:pt idx="7">
                  <c:v>42431.816769999998</c:v>
                </c:pt>
                <c:pt idx="8">
                  <c:v>47966.313629999997</c:v>
                </c:pt>
                <c:pt idx="9">
                  <c:v>52614.873090000001</c:v>
                </c:pt>
                <c:pt idx="10">
                  <c:v>57446.46819</c:v>
                </c:pt>
                <c:pt idx="11">
                  <c:v>66132.434330000004</c:v>
                </c:pt>
              </c:numCache>
            </c:numRef>
          </c:val>
        </c:ser>
        <c:ser>
          <c:idx val="2"/>
          <c:order val="3"/>
          <c:tx>
            <c:v>rok 2017</c:v>
          </c:tx>
          <c:spPr>
            <a:solidFill>
              <a:srgbClr val="802060"/>
            </a:solidFill>
            <a:ln w="12700">
              <a:solidFill>
                <a:srgbClr val="000000"/>
              </a:solidFill>
              <a:prstDash val="solid"/>
            </a:ln>
          </c:spPr>
          <c:invertIfNegative val="0"/>
          <c:val>
            <c:numRef>
              <c:f>'2017'!$B$11:$M$11</c:f>
              <c:numCache>
                <c:formatCode>#,##0</c:formatCode>
                <c:ptCount val="12"/>
                <c:pt idx="0">
                  <c:v>4862.5426100000004</c:v>
                </c:pt>
                <c:pt idx="1">
                  <c:v>10157.513629999999</c:v>
                </c:pt>
                <c:pt idx="2">
                  <c:v>15749.96415</c:v>
                </c:pt>
                <c:pt idx="3">
                  <c:v>19639.640430000003</c:v>
                </c:pt>
                <c:pt idx="4">
                  <c:v>24593.052940000005</c:v>
                </c:pt>
                <c:pt idx="5">
                  <c:v>33829.251690000005</c:v>
                </c:pt>
                <c:pt idx="6">
                  <c:v>41283.446300000003</c:v>
                </c:pt>
                <c:pt idx="7">
                  <c:v>46408.732550000001</c:v>
                </c:pt>
                <c:pt idx="8">
                  <c:v>51744.632880000012</c:v>
                </c:pt>
                <c:pt idx="9">
                  <c:v>56703.487190000007</c:v>
                </c:pt>
                <c:pt idx="10">
                  <c:v>62079.63192</c:v>
                </c:pt>
                <c:pt idx="11">
                  <c:v>70932.667530000006</c:v>
                </c:pt>
              </c:numCache>
            </c:numRef>
          </c:val>
        </c:ser>
        <c:dLbls>
          <c:showLegendKey val="0"/>
          <c:showVal val="0"/>
          <c:showCatName val="0"/>
          <c:showSerName val="0"/>
          <c:showPercent val="0"/>
          <c:showBubbleSize val="0"/>
        </c:dLbls>
        <c:gapWidth val="100"/>
        <c:axId val="109579264"/>
        <c:axId val="111924352"/>
      </c:barChart>
      <c:catAx>
        <c:axId val="109579264"/>
        <c:scaling>
          <c:orientation val="minMax"/>
        </c:scaling>
        <c:delete val="0"/>
        <c:axPos val="b"/>
        <c:title>
          <c:tx>
            <c:rich>
              <a:bodyPr/>
              <a:lstStyle/>
              <a:p>
                <a:pPr>
                  <a:defRPr sz="900" b="1" i="0" u="none" strike="noStrike" baseline="0">
                    <a:solidFill>
                      <a:srgbClr val="000000"/>
                    </a:solidFill>
                    <a:latin typeface="Arial"/>
                    <a:ea typeface="Arial"/>
                    <a:cs typeface="Arial"/>
                  </a:defRPr>
                </a:pPr>
                <a:r>
                  <a:rPr lang="cs-CZ"/>
                  <a:t>měsíc</a:t>
                </a:r>
              </a:p>
            </c:rich>
          </c:tx>
          <c:layout>
            <c:manualLayout>
              <c:xMode val="edge"/>
              <c:yMode val="edge"/>
              <c:x val="0.49019701414328559"/>
              <c:y val="0.9109603422859813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cs-CZ"/>
          </a:p>
        </c:txPr>
        <c:crossAx val="111924352"/>
        <c:crosses val="autoZero"/>
        <c:auto val="0"/>
        <c:lblAlgn val="ctr"/>
        <c:lblOffset val="100"/>
        <c:tickLblSkip val="1"/>
        <c:tickMarkSkip val="1"/>
        <c:noMultiLvlLbl val="0"/>
      </c:catAx>
      <c:valAx>
        <c:axId val="111924352"/>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cs-CZ"/>
                  <a:t>tis.Kč</a:t>
                </a:r>
              </a:p>
            </c:rich>
          </c:tx>
          <c:layout>
            <c:manualLayout>
              <c:xMode val="edge"/>
              <c:yMode val="edge"/>
              <c:x val="3.7433155080213901E-2"/>
              <c:y val="0.40753496566353858"/>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cs-CZ"/>
          </a:p>
        </c:txPr>
        <c:crossAx val="109579264"/>
        <c:crosses val="autoZero"/>
        <c:crossBetween val="between"/>
        <c:majorUnit val="10000"/>
        <c:minorUnit val="5000"/>
      </c:valAx>
      <c:spPr>
        <a:solidFill>
          <a:srgbClr val="CCFFCC"/>
        </a:solidFill>
        <a:ln w="12700">
          <a:solidFill>
            <a:srgbClr val="FFFFFF"/>
          </a:solidFill>
          <a:prstDash val="solid"/>
        </a:ln>
      </c:spPr>
    </c:plotArea>
    <c:legend>
      <c:legendPos val="r"/>
      <c:layout>
        <c:manualLayout>
          <c:xMode val="edge"/>
          <c:yMode val="edge"/>
          <c:x val="0.83184938781048079"/>
          <c:y val="0.11643907525257972"/>
          <c:w val="0.16577577535428389"/>
          <c:h val="0.22602775680437204"/>
        </c:manualLayout>
      </c:layout>
      <c:overlay val="0"/>
      <c:spPr>
        <a:solidFill>
          <a:srgbClr val="FFFFFF"/>
        </a:solidFill>
        <a:ln w="3175">
          <a:solidFill>
            <a:srgbClr val="000000"/>
          </a:solidFill>
          <a:prstDash val="solid"/>
        </a:ln>
      </c:spPr>
      <c:txPr>
        <a:bodyPr/>
        <a:lstStyle/>
        <a:p>
          <a:pPr>
            <a:defRPr lang="cs-CZ" sz="1000" b="1" i="0" u="none" strike="noStrike" kern="1200" baseline="0">
              <a:solidFill>
                <a:srgbClr val="000000"/>
              </a:solidFill>
              <a:latin typeface="Times New Roman"/>
              <a:ea typeface="Times New Roman"/>
              <a:cs typeface="Times New Roman"/>
            </a:defRPr>
          </a:pPr>
          <a:endParaRPr lang="cs-CZ"/>
        </a:p>
      </c:txPr>
    </c:legend>
    <c:plotVisOnly val="1"/>
    <c:dispBlanksAs val="gap"/>
    <c:showDLblsOverMax val="0"/>
  </c:chart>
  <c:spPr>
    <a:solidFill>
      <a:srgbClr val="FFFFFF"/>
    </a:solidFill>
    <a:ln w="3175">
      <a:solidFill>
        <a:srgbClr val="000000"/>
      </a:solidFill>
      <a:prstDash val="solid"/>
    </a:ln>
    <a:effectLst>
      <a:outerShdw dist="35921" dir="2700000" algn="br">
        <a:srgbClr val="000000"/>
      </a:outerShdw>
    </a:effectLst>
  </c:spPr>
  <c:txPr>
    <a:bodyPr/>
    <a:lstStyle/>
    <a:p>
      <a:pPr>
        <a:defRPr sz="1200" b="0" i="0" u="none" strike="noStrike" baseline="0">
          <a:solidFill>
            <a:srgbClr val="000000"/>
          </a:solidFill>
          <a:latin typeface="Times New Roman"/>
          <a:ea typeface="Times New Roman"/>
          <a:cs typeface="Times New Roman"/>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cs-CZ"/>
              <a:t>Rozdíly daňových příjmů  v roce 2017 proti roku 2016</a:t>
            </a:r>
          </a:p>
        </c:rich>
      </c:tx>
      <c:layout>
        <c:manualLayout>
          <c:xMode val="edge"/>
          <c:yMode val="edge"/>
          <c:x val="0.12432451348986781"/>
          <c:y val="1.8796992481203006E-2"/>
        </c:manualLayout>
      </c:layout>
      <c:overlay val="0"/>
      <c:spPr>
        <a:noFill/>
        <a:ln w="25400">
          <a:noFill/>
        </a:ln>
      </c:spPr>
    </c:title>
    <c:autoTitleDeleted val="0"/>
    <c:plotArea>
      <c:layout>
        <c:manualLayout>
          <c:layoutTarget val="inner"/>
          <c:xMode val="edge"/>
          <c:yMode val="edge"/>
          <c:x val="0.1027028918682462"/>
          <c:y val="0.14661654135338345"/>
          <c:w val="0.8180194573822096"/>
          <c:h val="0.69548872180451127"/>
        </c:manualLayout>
      </c:layout>
      <c:barChart>
        <c:barDir val="col"/>
        <c:grouping val="clustered"/>
        <c:varyColors val="0"/>
        <c:ser>
          <c:idx val="0"/>
          <c:order val="0"/>
          <c:tx>
            <c:strRef>
              <c:f>'2017'!$A$42</c:f>
              <c:strCache>
                <c:ptCount val="1"/>
                <c:pt idx="0">
                  <c:v>měsíční přebytek</c:v>
                </c:pt>
              </c:strCache>
            </c:strRef>
          </c:tx>
          <c:spPr>
            <a:solidFill>
              <a:srgbClr val="8080FF"/>
            </a:solidFill>
            <a:ln w="12700">
              <a:solidFill>
                <a:srgbClr val="000000"/>
              </a:solidFill>
              <a:prstDash val="solid"/>
            </a:ln>
          </c:spPr>
          <c:invertIfNegative val="0"/>
          <c:val>
            <c:numRef>
              <c:f>'2017'!$B$42:$M$42</c:f>
              <c:numCache>
                <c:formatCode>#,##0</c:formatCode>
                <c:ptCount val="12"/>
                <c:pt idx="0">
                  <c:v>312.01270000000022</c:v>
                </c:pt>
                <c:pt idx="1">
                  <c:v>464.64530000000104</c:v>
                </c:pt>
                <c:pt idx="2">
                  <c:v>833.9064900000003</c:v>
                </c:pt>
                <c:pt idx="3">
                  <c:v>-124.91366000000153</c:v>
                </c:pt>
                <c:pt idx="4">
                  <c:v>943.74091000000226</c:v>
                </c:pt>
                <c:pt idx="5">
                  <c:v>687.7772100000002</c:v>
                </c:pt>
                <c:pt idx="6">
                  <c:v>446.33215999999993</c:v>
                </c:pt>
                <c:pt idx="7">
                  <c:v>413.41467000000284</c:v>
                </c:pt>
                <c:pt idx="8">
                  <c:v>-198.59652999999707</c:v>
                </c:pt>
                <c:pt idx="9">
                  <c:v>310.29484999999386</c:v>
                </c:pt>
                <c:pt idx="10">
                  <c:v>544.54963000000134</c:v>
                </c:pt>
                <c:pt idx="11">
                  <c:v>167.06946999999673</c:v>
                </c:pt>
              </c:numCache>
            </c:numRef>
          </c:val>
        </c:ser>
        <c:ser>
          <c:idx val="1"/>
          <c:order val="1"/>
          <c:tx>
            <c:strRef>
              <c:f>'2017'!$A$43</c:f>
              <c:strCache>
                <c:ptCount val="1"/>
                <c:pt idx="0">
                  <c:v>roční přebytek</c:v>
                </c:pt>
              </c:strCache>
            </c:strRef>
          </c:tx>
          <c:spPr>
            <a:solidFill>
              <a:srgbClr val="993366"/>
            </a:solidFill>
            <a:ln w="12700">
              <a:solidFill>
                <a:srgbClr val="000000"/>
              </a:solidFill>
              <a:prstDash val="solid"/>
            </a:ln>
          </c:spPr>
          <c:invertIfNegative val="0"/>
          <c:dLbls>
            <c:dLbl>
              <c:idx val="1"/>
              <c:layout>
                <c:manualLayout>
                  <c:x val="1.4314335277880072E-2"/>
                  <c:y val="-7.6557535571210623E-3"/>
                </c:manualLayout>
              </c:layout>
              <c:dLblPos val="outEnd"/>
              <c:showLegendKey val="0"/>
              <c:showVal val="1"/>
              <c:showCatName val="0"/>
              <c:showSerName val="0"/>
              <c:showPercent val="0"/>
              <c:showBubbleSize val="0"/>
            </c:dLbl>
            <c:dLbl>
              <c:idx val="3"/>
              <c:layout>
                <c:manualLayout>
                  <c:x val="1.931724185120438E-2"/>
                  <c:y val="-3.1998105499970467E-2"/>
                </c:manualLayout>
              </c:layout>
              <c:dLblPos val="outEnd"/>
              <c:showLegendKey val="0"/>
              <c:showVal val="1"/>
              <c:showCatName val="0"/>
              <c:showSerName val="0"/>
              <c:showPercent val="0"/>
              <c:showBubbleSize val="0"/>
            </c:dLbl>
            <c:dLbl>
              <c:idx val="6"/>
              <c:layout>
                <c:manualLayout>
                  <c:x val="8.806591319434471E-3"/>
                  <c:y val="2.1553884711779499E-2"/>
                </c:manualLayout>
              </c:layout>
              <c:dLblPos val="outEnd"/>
              <c:showLegendKey val="0"/>
              <c:showVal val="1"/>
              <c:showCatName val="0"/>
              <c:showSerName val="0"/>
              <c:showPercent val="0"/>
              <c:showBubbleSize val="0"/>
            </c:dLbl>
            <c:dLbl>
              <c:idx val="7"/>
              <c:layout>
                <c:manualLayout>
                  <c:x val="-1.7039123208650296E-3"/>
                  <c:y val="2.1553884711779499E-2"/>
                </c:manualLayout>
              </c:layout>
              <c:dLblPos val="outEnd"/>
              <c:showLegendKey val="0"/>
              <c:showVal val="1"/>
              <c:showCatName val="0"/>
              <c:showSerName val="0"/>
              <c:showPercent val="0"/>
              <c:showBubbleSize val="0"/>
            </c:dLbl>
            <c:dLbl>
              <c:idx val="9"/>
              <c:layout>
                <c:manualLayout>
                  <c:x val="2.500390153933549E-3"/>
                  <c:y val="-3.5079825548122276E-3"/>
                </c:manualLayout>
              </c:layout>
              <c:dLblPos val="outEnd"/>
              <c:showLegendKey val="0"/>
              <c:showVal val="1"/>
              <c:showCatName val="0"/>
              <c:showSerName val="0"/>
              <c:showPercent val="0"/>
              <c:showBubbleSize val="0"/>
            </c:dLbl>
            <c:dLbl>
              <c:idx val="10"/>
              <c:layout>
                <c:manualLayout>
                  <c:x val="-8.0300773214159041E-4"/>
                  <c:y val="6.5162907268170424E-3"/>
                </c:manualLayout>
              </c:layout>
              <c:dLblPos val="outEnd"/>
              <c:showLegendKey val="0"/>
              <c:showVal val="1"/>
              <c:showCatName val="0"/>
              <c:showSerName val="0"/>
              <c:showPercent val="0"/>
              <c:showBubbleSize val="0"/>
            </c:dLbl>
            <c:dLbl>
              <c:idx val="11"/>
              <c:layout>
                <c:manualLayout>
                  <c:x val="3.1010023953318374E-3"/>
                  <c:y val="2.1553884711779499E-2"/>
                </c:manualLayout>
              </c:layout>
              <c:dLblPos val="outEnd"/>
              <c:showLegendKey val="0"/>
              <c:showVal val="1"/>
              <c:showCatName val="0"/>
              <c:showSerName val="0"/>
              <c:showPercent val="0"/>
              <c:showBubbleSize val="0"/>
            </c:dLbl>
            <c:numFmt formatCode="0" sourceLinked="0"/>
            <c:spPr>
              <a:noFill/>
              <a:ln w="25400">
                <a:noFill/>
              </a:ln>
            </c:spPr>
            <c:txPr>
              <a:bodyPr/>
              <a:lstStyle/>
              <a:p>
                <a:pPr algn="ctr" rtl="1">
                  <a:defRPr sz="800" b="1" i="0" u="none" strike="noStrike" baseline="0">
                    <a:solidFill>
                      <a:srgbClr val="000000"/>
                    </a:solidFill>
                    <a:latin typeface="Times New Roman"/>
                    <a:ea typeface="Times New Roman"/>
                    <a:cs typeface="Times New Roman"/>
                  </a:defRPr>
                </a:pPr>
                <a:endParaRPr lang="cs-CZ"/>
              </a:p>
            </c:txPr>
            <c:showLegendKey val="0"/>
            <c:showVal val="1"/>
            <c:showCatName val="0"/>
            <c:showSerName val="0"/>
            <c:showPercent val="0"/>
            <c:showBubbleSize val="0"/>
            <c:showLeaderLines val="0"/>
          </c:dLbls>
          <c:val>
            <c:numRef>
              <c:f>'2017'!$B$43:$M$43</c:f>
              <c:numCache>
                <c:formatCode>#,##0</c:formatCode>
                <c:ptCount val="12"/>
                <c:pt idx="0">
                  <c:v>312.01270000000022</c:v>
                </c:pt>
                <c:pt idx="1">
                  <c:v>776.65799999999945</c:v>
                </c:pt>
                <c:pt idx="2">
                  <c:v>1610.5644900000007</c:v>
                </c:pt>
                <c:pt idx="3">
                  <c:v>1485.6508300000023</c:v>
                </c:pt>
                <c:pt idx="4">
                  <c:v>2429.3917400000028</c:v>
                </c:pt>
                <c:pt idx="5">
                  <c:v>3117.1689500000066</c:v>
                </c:pt>
                <c:pt idx="6">
                  <c:v>3563.5011099999974</c:v>
                </c:pt>
                <c:pt idx="7">
                  <c:v>3976.915780000003</c:v>
                </c:pt>
                <c:pt idx="8">
                  <c:v>3778.319250000015</c:v>
                </c:pt>
                <c:pt idx="9">
                  <c:v>4088.6141000000061</c:v>
                </c:pt>
                <c:pt idx="10">
                  <c:v>4633.1637300000002</c:v>
                </c:pt>
                <c:pt idx="11">
                  <c:v>4800.2332000000024</c:v>
                </c:pt>
              </c:numCache>
            </c:numRef>
          </c:val>
        </c:ser>
        <c:dLbls>
          <c:showLegendKey val="0"/>
          <c:showVal val="0"/>
          <c:showCatName val="0"/>
          <c:showSerName val="0"/>
          <c:showPercent val="0"/>
          <c:showBubbleSize val="0"/>
        </c:dLbls>
        <c:gapWidth val="100"/>
        <c:axId val="122542720"/>
        <c:axId val="122548608"/>
      </c:barChart>
      <c:catAx>
        <c:axId val="122542720"/>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cs-CZ"/>
          </a:p>
        </c:txPr>
        <c:crossAx val="122548608"/>
        <c:crosses val="autoZero"/>
        <c:auto val="0"/>
        <c:lblAlgn val="ctr"/>
        <c:lblOffset val="100"/>
        <c:tickLblSkip val="1"/>
        <c:tickMarkSkip val="1"/>
        <c:noMultiLvlLbl val="0"/>
      </c:catAx>
      <c:valAx>
        <c:axId val="122548608"/>
        <c:scaling>
          <c:orientation val="minMax"/>
          <c:min val="-2000"/>
        </c:scaling>
        <c:delete val="0"/>
        <c:axPos val="l"/>
        <c:title>
          <c:tx>
            <c:rich>
              <a:bodyPr/>
              <a:lstStyle/>
              <a:p>
                <a:pPr>
                  <a:defRPr sz="1000" b="1" i="0" u="none" strike="noStrike" baseline="0">
                    <a:solidFill>
                      <a:srgbClr val="000000"/>
                    </a:solidFill>
                    <a:latin typeface="Arial"/>
                    <a:ea typeface="Arial"/>
                    <a:cs typeface="Arial"/>
                  </a:defRPr>
                </a:pPr>
                <a:r>
                  <a:rPr lang="cs-CZ"/>
                  <a:t>tis.Kč</a:t>
                </a:r>
              </a:p>
            </c:rich>
          </c:tx>
          <c:layout>
            <c:manualLayout>
              <c:xMode val="edge"/>
              <c:yMode val="edge"/>
              <c:x val="9.0090090090090089E-3"/>
              <c:y val="0.43984962406015038"/>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cs-CZ"/>
          </a:p>
        </c:txPr>
        <c:crossAx val="122542720"/>
        <c:crosses val="autoZero"/>
        <c:crossBetween val="between"/>
        <c:majorUnit val="2000"/>
      </c:valAx>
      <c:spPr>
        <a:solidFill>
          <a:srgbClr val="CCFFCC"/>
        </a:solidFill>
        <a:ln w="12700">
          <a:solidFill>
            <a:srgbClr val="FFFFFF"/>
          </a:solidFill>
          <a:prstDash val="solid"/>
        </a:ln>
      </c:spPr>
    </c:plotArea>
    <c:legend>
      <c:legendPos val="r"/>
      <c:legendEntry>
        <c:idx val="0"/>
        <c:txPr>
          <a:bodyPr/>
          <a:lstStyle/>
          <a:p>
            <a:pPr>
              <a:defRPr lang="cs-CZ" sz="1000" b="1" i="0" u="none" strike="noStrike" kern="1200" baseline="0">
                <a:solidFill>
                  <a:srgbClr val="000000"/>
                </a:solidFill>
                <a:latin typeface="Times New Roman"/>
                <a:ea typeface="Times New Roman"/>
                <a:cs typeface="Times New Roman"/>
              </a:defRPr>
            </a:pPr>
            <a:endParaRPr lang="cs-CZ"/>
          </a:p>
        </c:txPr>
      </c:legendEntry>
      <c:legendEntry>
        <c:idx val="1"/>
        <c:txPr>
          <a:bodyPr/>
          <a:lstStyle/>
          <a:p>
            <a:pPr>
              <a:defRPr lang="cs-CZ" sz="1000" b="1" i="0" u="none" strike="noStrike" kern="1200" baseline="0">
                <a:solidFill>
                  <a:srgbClr val="000000"/>
                </a:solidFill>
                <a:latin typeface="Times New Roman"/>
                <a:ea typeface="Times New Roman"/>
                <a:cs typeface="Times New Roman"/>
              </a:defRPr>
            </a:pPr>
            <a:endParaRPr lang="cs-CZ"/>
          </a:p>
        </c:txPr>
      </c:legendEntry>
      <c:layout>
        <c:manualLayout>
          <c:xMode val="edge"/>
          <c:yMode val="edge"/>
          <c:x val="0.28648705398311697"/>
          <c:y val="0.87092731829573933"/>
          <c:w val="0.53333427916105092"/>
          <c:h val="0.10526315789473684"/>
        </c:manualLayout>
      </c:layout>
      <c:overlay val="0"/>
      <c:spPr>
        <a:solidFill>
          <a:srgbClr val="FFFFFF"/>
        </a:solidFill>
        <a:ln w="3175">
          <a:solidFill>
            <a:srgbClr val="000000"/>
          </a:solidFill>
          <a:prstDash val="solid"/>
        </a:ln>
      </c:spPr>
      <c:txPr>
        <a:bodyPr/>
        <a:lstStyle/>
        <a:p>
          <a:pPr>
            <a:defRPr lang="cs-CZ" sz="1000" b="1" i="0" u="none" strike="noStrike" kern="1200" baseline="0">
              <a:solidFill>
                <a:srgbClr val="000000"/>
              </a:solidFill>
              <a:latin typeface="Times New Roman"/>
              <a:ea typeface="Times New Roman"/>
              <a:cs typeface="Times New Roman"/>
            </a:defRPr>
          </a:pPr>
          <a:endParaRPr lang="cs-CZ"/>
        </a:p>
      </c:txPr>
    </c:legend>
    <c:plotVisOnly val="1"/>
    <c:dispBlanksAs val="gap"/>
    <c:showDLblsOverMax val="0"/>
  </c:chart>
  <c:spPr>
    <a:solidFill>
      <a:srgbClr val="FFFFFF"/>
    </a:solidFill>
    <a:ln w="3175">
      <a:solidFill>
        <a:srgbClr val="000000"/>
      </a:solidFill>
      <a:prstDash val="solid"/>
    </a:ln>
    <a:effectLst>
      <a:outerShdw dist="35921" dir="2700000" algn="br">
        <a:srgbClr val="000000"/>
      </a:outerShdw>
    </a:effectLst>
  </c:spPr>
  <c:txPr>
    <a:bodyPr/>
    <a:lstStyle/>
    <a:p>
      <a:pPr>
        <a:defRPr sz="1200" b="0" i="0" u="none" strike="noStrike" baseline="0">
          <a:solidFill>
            <a:srgbClr val="000000"/>
          </a:solidFill>
          <a:latin typeface="Times New Roman"/>
          <a:ea typeface="Times New Roman"/>
          <a:cs typeface="Times New Roman"/>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cs-CZ"/>
              <a:t>Rozdíly daňových příjmů  v roce 2017 proti roku 2015
</a:t>
            </a:r>
          </a:p>
        </c:rich>
      </c:tx>
      <c:layout>
        <c:manualLayout>
          <c:xMode val="edge"/>
          <c:yMode val="edge"/>
          <c:x val="0.15742415918940364"/>
          <c:y val="1.6666666666666666E-2"/>
        </c:manualLayout>
      </c:layout>
      <c:overlay val="0"/>
      <c:spPr>
        <a:noFill/>
        <a:ln w="25400">
          <a:noFill/>
        </a:ln>
      </c:spPr>
    </c:title>
    <c:autoTitleDeleted val="0"/>
    <c:plotArea>
      <c:layout>
        <c:manualLayout>
          <c:layoutTarget val="inner"/>
          <c:xMode val="edge"/>
          <c:yMode val="edge"/>
          <c:x val="0.14490173658819511"/>
          <c:y val="0.16000052083502875"/>
          <c:w val="0.79427618574269909"/>
          <c:h val="0.69666893446918776"/>
        </c:manualLayout>
      </c:layout>
      <c:barChart>
        <c:barDir val="col"/>
        <c:grouping val="clustered"/>
        <c:varyColors val="0"/>
        <c:ser>
          <c:idx val="0"/>
          <c:order val="0"/>
          <c:tx>
            <c:strRef>
              <c:f>'2017'!$A$46</c:f>
              <c:strCache>
                <c:ptCount val="1"/>
                <c:pt idx="0">
                  <c:v>měsíční přebytek</c:v>
                </c:pt>
              </c:strCache>
            </c:strRef>
          </c:tx>
          <c:spPr>
            <a:solidFill>
              <a:srgbClr val="8080FF"/>
            </a:solidFill>
            <a:ln w="12700">
              <a:solidFill>
                <a:srgbClr val="000000"/>
              </a:solidFill>
              <a:prstDash val="solid"/>
            </a:ln>
          </c:spPr>
          <c:invertIfNegative val="0"/>
          <c:val>
            <c:numRef>
              <c:f>'2017'!$B$46:$M$46</c:f>
              <c:numCache>
                <c:formatCode>#,##0</c:formatCode>
                <c:ptCount val="12"/>
                <c:pt idx="0">
                  <c:v>680.79716000000099</c:v>
                </c:pt>
                <c:pt idx="1">
                  <c:v>463.2832499999995</c:v>
                </c:pt>
                <c:pt idx="2">
                  <c:v>2112.9927999999991</c:v>
                </c:pt>
                <c:pt idx="3">
                  <c:v>-516.08195000000114</c:v>
                </c:pt>
                <c:pt idx="4">
                  <c:v>828.35368000000017</c:v>
                </c:pt>
                <c:pt idx="5">
                  <c:v>1552.678069999999</c:v>
                </c:pt>
                <c:pt idx="6">
                  <c:v>841.59853999999905</c:v>
                </c:pt>
                <c:pt idx="7">
                  <c:v>537.25839000000178</c:v>
                </c:pt>
                <c:pt idx="8">
                  <c:v>270.48688000000311</c:v>
                </c:pt>
                <c:pt idx="9">
                  <c:v>1286.0338299999958</c:v>
                </c:pt>
                <c:pt idx="10">
                  <c:v>506.09978999999748</c:v>
                </c:pt>
                <c:pt idx="11">
                  <c:v>930.55829999999423</c:v>
                </c:pt>
              </c:numCache>
            </c:numRef>
          </c:val>
        </c:ser>
        <c:ser>
          <c:idx val="1"/>
          <c:order val="1"/>
          <c:tx>
            <c:strRef>
              <c:f>'2017'!$A$47</c:f>
              <c:strCache>
                <c:ptCount val="1"/>
                <c:pt idx="0">
                  <c:v>roční přebytek</c:v>
                </c:pt>
              </c:strCache>
            </c:strRef>
          </c:tx>
          <c:spPr>
            <a:solidFill>
              <a:srgbClr val="993366"/>
            </a:solidFill>
            <a:ln w="12700">
              <a:solidFill>
                <a:srgbClr val="000000"/>
              </a:solidFill>
              <a:prstDash val="solid"/>
            </a:ln>
          </c:spPr>
          <c:invertIfNegative val="0"/>
          <c:dLbls>
            <c:dLbl>
              <c:idx val="1"/>
              <c:layout>
                <c:manualLayout>
                  <c:x val="1.7889087656529517E-3"/>
                  <c:y val="-4.1399825021872262E-3"/>
                </c:manualLayout>
              </c:layout>
              <c:dLblPos val="outEnd"/>
              <c:showLegendKey val="0"/>
              <c:showVal val="1"/>
              <c:showCatName val="0"/>
              <c:showSerName val="0"/>
              <c:showPercent val="0"/>
              <c:showBubbleSize val="0"/>
            </c:dLbl>
            <c:dLbl>
              <c:idx val="2"/>
              <c:layout>
                <c:manualLayout>
                  <c:x val="7.1556350626118068E-3"/>
                  <c:y val="4.4447944006999127E-3"/>
                </c:manualLayout>
              </c:layout>
              <c:dLblPos val="outEnd"/>
              <c:showLegendKey val="0"/>
              <c:showVal val="1"/>
              <c:showCatName val="0"/>
              <c:showSerName val="0"/>
              <c:showPercent val="0"/>
              <c:showBubbleSize val="0"/>
            </c:dLbl>
            <c:dLbl>
              <c:idx val="3"/>
              <c:layout>
                <c:manualLayout>
                  <c:x val="0"/>
                  <c:y val="-3.5014427943167802E-2"/>
                </c:manualLayout>
              </c:layout>
              <c:dLblPos val="outEnd"/>
              <c:showLegendKey val="0"/>
              <c:showVal val="1"/>
              <c:showCatName val="0"/>
              <c:showSerName val="0"/>
              <c:showPercent val="0"/>
              <c:showBubbleSize val="0"/>
            </c:dLbl>
            <c:dLbl>
              <c:idx val="4"/>
              <c:layout>
                <c:manualLayout>
                  <c:x val="1.9663910526389927E-4"/>
                  <c:y val="1.3301837270341208E-3"/>
                </c:manualLayout>
              </c:layout>
              <c:dLblPos val="outEnd"/>
              <c:showLegendKey val="0"/>
              <c:showVal val="1"/>
              <c:showCatName val="0"/>
              <c:showSerName val="0"/>
              <c:showPercent val="0"/>
              <c:showBubbleSize val="0"/>
            </c:dLbl>
            <c:dLbl>
              <c:idx val="5"/>
              <c:layout>
                <c:manualLayout>
                  <c:x val="7.9486327424705596E-3"/>
                  <c:y val="1.9108094608236207E-2"/>
                </c:manualLayout>
              </c:layout>
              <c:dLblPos val="outEnd"/>
              <c:showLegendKey val="0"/>
              <c:showVal val="1"/>
              <c:showCatName val="0"/>
              <c:showSerName val="0"/>
              <c:showPercent val="0"/>
              <c:showBubbleSize val="0"/>
            </c:dLbl>
            <c:numFmt formatCode="0" sourceLinked="0"/>
            <c:spPr>
              <a:noFill/>
              <a:ln w="25400">
                <a:noFill/>
              </a:ln>
            </c:spPr>
            <c:txPr>
              <a:bodyPr/>
              <a:lstStyle/>
              <a:p>
                <a:pPr algn="ctr" rtl="1">
                  <a:defRPr sz="800" b="1" i="0" u="none" strike="noStrike" baseline="0">
                    <a:solidFill>
                      <a:srgbClr val="000000"/>
                    </a:solidFill>
                    <a:latin typeface="Times New Roman"/>
                    <a:ea typeface="Times New Roman"/>
                    <a:cs typeface="Times New Roman"/>
                  </a:defRPr>
                </a:pPr>
                <a:endParaRPr lang="cs-CZ"/>
              </a:p>
            </c:txPr>
            <c:showLegendKey val="0"/>
            <c:showVal val="1"/>
            <c:showCatName val="0"/>
            <c:showSerName val="0"/>
            <c:showPercent val="0"/>
            <c:showBubbleSize val="0"/>
            <c:showLeaderLines val="0"/>
          </c:dLbls>
          <c:val>
            <c:numRef>
              <c:f>'2017'!$B$47:$M$47</c:f>
              <c:numCache>
                <c:formatCode>#,##0</c:formatCode>
                <c:ptCount val="12"/>
                <c:pt idx="0">
                  <c:v>680.79716000000099</c:v>
                </c:pt>
                <c:pt idx="1">
                  <c:v>1144.0804099999987</c:v>
                </c:pt>
                <c:pt idx="2">
                  <c:v>3257.0732099999968</c:v>
                </c:pt>
                <c:pt idx="3">
                  <c:v>2740.9912599999989</c:v>
                </c:pt>
                <c:pt idx="4">
                  <c:v>3569.3449400000027</c:v>
                </c:pt>
                <c:pt idx="5">
                  <c:v>5122.0230100000008</c:v>
                </c:pt>
                <c:pt idx="6">
                  <c:v>5963.6215499999962</c:v>
                </c:pt>
                <c:pt idx="7">
                  <c:v>6500.8799399999916</c:v>
                </c:pt>
                <c:pt idx="8">
                  <c:v>6771.3668200000102</c:v>
                </c:pt>
                <c:pt idx="9">
                  <c:v>8057.4006500000032</c:v>
                </c:pt>
                <c:pt idx="10">
                  <c:v>8563.5004399999889</c:v>
                </c:pt>
                <c:pt idx="11">
                  <c:v>9494.0587399999931</c:v>
                </c:pt>
              </c:numCache>
            </c:numRef>
          </c:val>
        </c:ser>
        <c:dLbls>
          <c:showLegendKey val="0"/>
          <c:showVal val="0"/>
          <c:showCatName val="0"/>
          <c:showSerName val="0"/>
          <c:showPercent val="0"/>
          <c:showBubbleSize val="0"/>
        </c:dLbls>
        <c:gapWidth val="100"/>
        <c:axId val="124266752"/>
        <c:axId val="124293504"/>
      </c:barChart>
      <c:catAx>
        <c:axId val="124266752"/>
        <c:scaling>
          <c:orientation val="minMax"/>
        </c:scaling>
        <c:delete val="0"/>
        <c:axPos val="b"/>
        <c:title>
          <c:tx>
            <c:rich>
              <a:bodyPr/>
              <a:lstStyle/>
              <a:p>
                <a:pPr>
                  <a:defRPr sz="900" b="1" i="0" u="none" strike="noStrike" baseline="0">
                    <a:solidFill>
                      <a:srgbClr val="000000"/>
                    </a:solidFill>
                    <a:latin typeface="Arial"/>
                    <a:ea typeface="Arial"/>
                    <a:cs typeface="Arial"/>
                  </a:defRPr>
                </a:pPr>
                <a:r>
                  <a:rPr lang="cs-CZ"/>
                  <a:t>měsíc</a:t>
                </a:r>
              </a:p>
            </c:rich>
          </c:tx>
          <c:layout>
            <c:manualLayout>
              <c:xMode val="edge"/>
              <c:yMode val="edge"/>
              <c:x val="0.54025101066302306"/>
              <c:y val="0.8866694663167104"/>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cs-CZ"/>
          </a:p>
        </c:txPr>
        <c:crossAx val="124293504"/>
        <c:crosses val="autoZero"/>
        <c:auto val="0"/>
        <c:lblAlgn val="ctr"/>
        <c:lblOffset val="100"/>
        <c:tickLblSkip val="1"/>
        <c:tickMarkSkip val="1"/>
        <c:noMultiLvlLbl val="0"/>
      </c:catAx>
      <c:valAx>
        <c:axId val="124293504"/>
        <c:scaling>
          <c:orientation val="minMax"/>
          <c:min val="-2000"/>
        </c:scaling>
        <c:delete val="0"/>
        <c:axPos val="l"/>
        <c:title>
          <c:tx>
            <c:rich>
              <a:bodyPr/>
              <a:lstStyle/>
              <a:p>
                <a:pPr>
                  <a:defRPr sz="900" b="1" i="0" u="none" strike="noStrike" baseline="0">
                    <a:solidFill>
                      <a:srgbClr val="000000"/>
                    </a:solidFill>
                    <a:latin typeface="Arial"/>
                    <a:ea typeface="Arial"/>
                    <a:cs typeface="Arial"/>
                  </a:defRPr>
                </a:pPr>
                <a:r>
                  <a:rPr lang="cs-CZ"/>
                  <a:t>tis.Kč</a:t>
                </a:r>
              </a:p>
            </c:rich>
          </c:tx>
          <c:layout>
            <c:manualLayout>
              <c:xMode val="edge"/>
              <c:yMode val="edge"/>
              <c:x val="1.0733452593917709E-2"/>
              <c:y val="0.47333473315835523"/>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cs-CZ"/>
          </a:p>
        </c:txPr>
        <c:crossAx val="124266752"/>
        <c:crosses val="autoZero"/>
        <c:crossBetween val="between"/>
        <c:majorUnit val="2000"/>
        <c:minorUnit val="500"/>
      </c:valAx>
      <c:spPr>
        <a:solidFill>
          <a:srgbClr val="CCFFCC"/>
        </a:solidFill>
        <a:ln w="12700">
          <a:solidFill>
            <a:srgbClr val="FFFFFF"/>
          </a:solidFill>
          <a:prstDash val="solid"/>
        </a:ln>
      </c:spPr>
    </c:plotArea>
    <c:legend>
      <c:legendPos val="r"/>
      <c:legendEntry>
        <c:idx val="0"/>
        <c:txPr>
          <a:bodyPr/>
          <a:lstStyle/>
          <a:p>
            <a:pPr>
              <a:defRPr sz="1000" b="1" i="0" u="none" strike="noStrike" baseline="0">
                <a:solidFill>
                  <a:srgbClr val="000000"/>
                </a:solidFill>
                <a:latin typeface="Times New Roman"/>
                <a:ea typeface="Times New Roman"/>
                <a:cs typeface="Times New Roman"/>
              </a:defRPr>
            </a:pPr>
            <a:endParaRPr lang="cs-CZ"/>
          </a:p>
        </c:txPr>
      </c:legendEntry>
      <c:legendEntry>
        <c:idx val="1"/>
        <c:txPr>
          <a:bodyPr/>
          <a:lstStyle/>
          <a:p>
            <a:pPr>
              <a:defRPr lang="cs-CZ" sz="1000" b="1" i="0" u="none" strike="noStrike" kern="1200" baseline="0">
                <a:solidFill>
                  <a:srgbClr val="000000"/>
                </a:solidFill>
                <a:latin typeface="Times New Roman"/>
                <a:ea typeface="Times New Roman"/>
                <a:cs typeface="Times New Roman"/>
              </a:defRPr>
            </a:pPr>
            <a:endParaRPr lang="cs-CZ"/>
          </a:p>
        </c:txPr>
      </c:legendEntry>
      <c:layout>
        <c:manualLayout>
          <c:xMode val="edge"/>
          <c:yMode val="edge"/>
          <c:x val="0.31305922180121043"/>
          <c:y val="0.90111391076115488"/>
          <c:w val="0.5062615563036732"/>
          <c:h val="8.000034995625549E-2"/>
        </c:manualLayout>
      </c:layout>
      <c:overlay val="0"/>
      <c:spPr>
        <a:solidFill>
          <a:srgbClr val="FFFFFF"/>
        </a:solidFill>
        <a:ln w="3175">
          <a:solidFill>
            <a:srgbClr val="000000"/>
          </a:solidFill>
          <a:prstDash val="solid"/>
        </a:ln>
      </c:spPr>
      <c:txPr>
        <a:bodyPr/>
        <a:lstStyle/>
        <a:p>
          <a:pPr>
            <a:defRPr sz="595" b="0" i="0" u="none" strike="noStrike" baseline="0">
              <a:solidFill>
                <a:srgbClr val="000000"/>
              </a:solidFill>
              <a:latin typeface="Times New Roman"/>
              <a:ea typeface="Times New Roman"/>
              <a:cs typeface="Times New Roman"/>
            </a:defRPr>
          </a:pPr>
          <a:endParaRPr lang="cs-CZ"/>
        </a:p>
      </c:txPr>
    </c:legend>
    <c:plotVisOnly val="1"/>
    <c:dispBlanksAs val="gap"/>
    <c:showDLblsOverMax val="0"/>
  </c:chart>
  <c:spPr>
    <a:solidFill>
      <a:srgbClr val="FFFFFF"/>
    </a:solidFill>
    <a:ln w="3175">
      <a:solidFill>
        <a:srgbClr val="000000"/>
      </a:solidFill>
      <a:prstDash val="solid"/>
    </a:ln>
    <a:effectLst>
      <a:outerShdw dist="35921" dir="2700000" algn="br">
        <a:srgbClr val="000000"/>
      </a:outerShdw>
    </a:effectLst>
  </c:spPr>
  <c:txPr>
    <a:bodyPr/>
    <a:lstStyle/>
    <a:p>
      <a:pPr>
        <a:defRPr sz="1200" b="0" i="0" u="none" strike="noStrike" baseline="0">
          <a:solidFill>
            <a:srgbClr val="000000"/>
          </a:solidFill>
          <a:latin typeface="Times New Roman"/>
          <a:ea typeface="Times New Roman"/>
          <a:cs typeface="Times New Roman"/>
        </a:defRPr>
      </a:pPr>
      <a:endParaRPr lang="cs-CZ"/>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0.95032</cdr:x>
      <cdr:y>0.08801</cdr:y>
    </cdr:from>
    <cdr:to>
      <cdr:x>0.99081</cdr:x>
      <cdr:y>0.20775</cdr:y>
    </cdr:to>
    <cdr:sp macro="" textlink="" fLocksText="0">
      <cdr:nvSpPr>
        <cdr:cNvPr id="171009" name="text 1"/>
        <cdr:cNvSpPr txBox="1">
          <a:spLocks xmlns:a="http://schemas.openxmlformats.org/drawingml/2006/main" noChangeArrowheads="1"/>
        </cdr:cNvSpPr>
      </cdr:nvSpPr>
      <cdr:spPr bwMode="auto">
        <a:xfrm xmlns:a="http://schemas.openxmlformats.org/drawingml/2006/main">
          <a:off x="4927338" y="374560"/>
          <a:ext cx="209812" cy="50522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0"/>
              </a:solidFill>
            </a14:hiddenFill>
          </a:ext>
          <a:ext uri="{91240B29-F687-4F45-9708-019B960494DF}">
            <a14:hiddenLine xmlns:a14="http://schemas.microsoft.com/office/drawing/2010/main" w="9525">
              <a:solidFill>
                <a:srgbClr xmlns:mc="http://schemas.openxmlformats.org/markup-compatibility/2006" val="000000" mc:Ignorable="a14" a14:legacySpreadsheetColorIndex="0"/>
              </a:solidFill>
              <a:miter lim="800000"/>
              <a:headEnd/>
              <a:tailEnd/>
            </a14:hiddenLine>
          </a:ext>
        </a:extLst>
      </cdr:spPr>
      <cdr:txBody>
        <a:bodyPr xmlns:a="http://schemas.openxmlformats.org/drawingml/2006/main" vertOverflow="clip" vert="vert270" wrap="square" lIns="27432" tIns="22860" rIns="27432" bIns="0" anchor="ctr" upright="1"/>
        <a:lstStyle xmlns:a="http://schemas.openxmlformats.org/drawingml/2006/main"/>
        <a:p xmlns:a="http://schemas.openxmlformats.org/drawingml/2006/main">
          <a:pPr algn="r" rtl="0">
            <a:defRPr sz="1000"/>
          </a:pPr>
          <a:r>
            <a:rPr lang="cs-CZ" sz="1000" b="1" i="0" u="none" strike="noStrike" baseline="0">
              <a:solidFill>
                <a:srgbClr val="000000"/>
              </a:solidFill>
              <a:latin typeface="Arial"/>
              <a:cs typeface="Arial"/>
            </a:rPr>
            <a:t>tis. Kč</a:t>
          </a:r>
          <a:endParaRPr lang="cs-CZ"/>
        </a:p>
      </cdr:txBody>
    </cdr:sp>
  </cdr:relSizeAnchor>
  <cdr:relSizeAnchor xmlns:cdr="http://schemas.openxmlformats.org/drawingml/2006/chartDrawing">
    <cdr:from>
      <cdr:x>0.5</cdr:x>
      <cdr:y>0.51955</cdr:y>
    </cdr:from>
    <cdr:to>
      <cdr:x>0.52871</cdr:x>
      <cdr:y>0.56451</cdr:y>
    </cdr:to>
    <cdr:sp macro="" textlink="">
      <cdr:nvSpPr>
        <cdr:cNvPr id="171010" name="Text Box 2"/>
        <cdr:cNvSpPr txBox="1">
          <a:spLocks xmlns:a="http://schemas.openxmlformats.org/drawingml/2006/main" noChangeArrowheads="1"/>
        </cdr:cNvSpPr>
      </cdr:nvSpPr>
      <cdr:spPr bwMode="auto">
        <a:xfrm xmlns:a="http://schemas.openxmlformats.org/drawingml/2006/main">
          <a:off x="2593975" y="2195449"/>
          <a:ext cx="148776" cy="18971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cs-CZ"/>
        </a:p>
      </cdr:txBody>
    </cdr:sp>
  </cdr:relSizeAnchor>
  <cdr:relSizeAnchor xmlns:cdr="http://schemas.openxmlformats.org/drawingml/2006/chartDrawing">
    <cdr:from>
      <cdr:x>0.95032</cdr:x>
      <cdr:y>0.08801</cdr:y>
    </cdr:from>
    <cdr:to>
      <cdr:x>0.99081</cdr:x>
      <cdr:y>0.20775</cdr:y>
    </cdr:to>
    <cdr:sp macro="" textlink="" fLocksText="0">
      <cdr:nvSpPr>
        <cdr:cNvPr id="2" name="text 1"/>
        <cdr:cNvSpPr txBox="1">
          <a:spLocks xmlns:a="http://schemas.openxmlformats.org/drawingml/2006/main" noChangeArrowheads="1"/>
        </cdr:cNvSpPr>
      </cdr:nvSpPr>
      <cdr:spPr bwMode="auto">
        <a:xfrm xmlns:a="http://schemas.openxmlformats.org/drawingml/2006/main">
          <a:off x="4927338" y="374560"/>
          <a:ext cx="209812" cy="50522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0"/>
              </a:solidFill>
            </a14:hiddenFill>
          </a:ext>
          <a:ext uri="{91240B29-F687-4F45-9708-019B960494DF}">
            <a14:hiddenLine xmlns:a14="http://schemas.microsoft.com/office/drawing/2010/main" w="9525">
              <a:solidFill>
                <a:srgbClr xmlns:mc="http://schemas.openxmlformats.org/markup-compatibility/2006" val="000000" mc:Ignorable="a14" a14:legacySpreadsheetColorIndex="0"/>
              </a:solidFill>
              <a:miter lim="800000"/>
              <a:headEnd/>
              <a:tailEnd/>
            </a14:hiddenLine>
          </a:ext>
        </a:extLst>
      </cdr:spPr>
      <cdr:txBody>
        <a:bodyPr xmlns:a="http://schemas.openxmlformats.org/drawingml/2006/main" vertOverflow="clip" vert="vert270" wrap="square" lIns="27432" tIns="22860" rIns="27432" bIns="0" anchor="ctr" upright="1"/>
        <a:lstStyle xmlns:a="http://schemas.openxmlformats.org/drawingml/2006/main"/>
        <a:p xmlns:a="http://schemas.openxmlformats.org/drawingml/2006/main">
          <a:pPr algn="r" rtl="0">
            <a:defRPr sz="1000"/>
          </a:pPr>
          <a:r>
            <a:rPr lang="cs-CZ" sz="1000" b="1" i="0" u="none" strike="noStrike" baseline="0">
              <a:solidFill>
                <a:srgbClr val="000000"/>
              </a:solidFill>
              <a:latin typeface="Arial"/>
              <a:cs typeface="Arial"/>
            </a:rPr>
            <a:t>tis. Kč</a:t>
          </a:r>
          <a:endParaRPr lang="cs-CZ"/>
        </a:p>
      </cdr:txBody>
    </cdr:sp>
  </cdr:relSizeAnchor>
  <cdr:relSizeAnchor xmlns:cdr="http://schemas.openxmlformats.org/drawingml/2006/chartDrawing">
    <cdr:from>
      <cdr:x>0.5</cdr:x>
      <cdr:y>0.51955</cdr:y>
    </cdr:from>
    <cdr:to>
      <cdr:x>0.52871</cdr:x>
      <cdr:y>0.56451</cdr:y>
    </cdr:to>
    <cdr:sp macro="" textlink="">
      <cdr:nvSpPr>
        <cdr:cNvPr id="3" name="Text Box 2"/>
        <cdr:cNvSpPr txBox="1">
          <a:spLocks xmlns:a="http://schemas.openxmlformats.org/drawingml/2006/main" noChangeArrowheads="1"/>
        </cdr:cNvSpPr>
      </cdr:nvSpPr>
      <cdr:spPr bwMode="auto">
        <a:xfrm xmlns:a="http://schemas.openxmlformats.org/drawingml/2006/main">
          <a:off x="2593975" y="2195449"/>
          <a:ext cx="148776" cy="18971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cs-CZ"/>
        </a:p>
      </cdr:txBody>
    </cdr:sp>
  </cdr:relSizeAnchor>
  <cdr:relSizeAnchor xmlns:cdr="http://schemas.openxmlformats.org/drawingml/2006/chartDrawing">
    <cdr:from>
      <cdr:x>0.95032</cdr:x>
      <cdr:y>0.08777</cdr:y>
    </cdr:from>
    <cdr:to>
      <cdr:x>0.99081</cdr:x>
      <cdr:y>0.20751</cdr:y>
    </cdr:to>
    <cdr:sp macro="" textlink="" fLocksText="0">
      <cdr:nvSpPr>
        <cdr:cNvPr id="2049" name="text 1"/>
        <cdr:cNvSpPr txBox="1">
          <a:spLocks xmlns:a="http://schemas.openxmlformats.org/drawingml/2006/main" noChangeArrowheads="1"/>
        </cdr:cNvSpPr>
      </cdr:nvSpPr>
      <cdr:spPr bwMode="auto">
        <a:xfrm xmlns:a="http://schemas.openxmlformats.org/drawingml/2006/main">
          <a:off x="4927338" y="373528"/>
          <a:ext cx="209812" cy="50523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0"/>
              </a:solidFill>
            </a14:hiddenFill>
          </a:ext>
          <a:ext uri="{91240B29-F687-4F45-9708-019B960494DF}">
            <a14:hiddenLine xmlns:a14="http://schemas.microsoft.com/office/drawing/2010/main" w="9525">
              <a:solidFill>
                <a:srgbClr xmlns:mc="http://schemas.openxmlformats.org/markup-compatibility/2006" val="000000" mc:Ignorable="a14" a14:legacySpreadsheetColorIndex="0"/>
              </a:solidFill>
              <a:miter lim="800000"/>
              <a:headEnd/>
              <a:tailEnd/>
            </a14:hiddenLine>
          </a:ext>
        </a:extLst>
      </cdr:spPr>
      <cdr:txBody>
        <a:bodyPr xmlns:a="http://schemas.openxmlformats.org/drawingml/2006/main" vertOverflow="clip" vert="vert270" wrap="square" lIns="27432" tIns="22860" rIns="27432" bIns="0" anchor="ctr" upright="1"/>
        <a:lstStyle xmlns:a="http://schemas.openxmlformats.org/drawingml/2006/main"/>
        <a:p xmlns:a="http://schemas.openxmlformats.org/drawingml/2006/main">
          <a:pPr algn="r" rtl="0">
            <a:defRPr sz="1000"/>
          </a:pPr>
          <a:r>
            <a:rPr lang="cs-CZ" sz="1000" b="1" i="0" u="none" strike="noStrike" baseline="0">
              <a:solidFill>
                <a:srgbClr val="000000"/>
              </a:solidFill>
              <a:latin typeface="Arial"/>
              <a:cs typeface="Arial"/>
            </a:rPr>
            <a:t>tis. Kč</a:t>
          </a:r>
          <a:endParaRPr lang="cs-CZ"/>
        </a:p>
      </cdr:txBody>
    </cdr:sp>
  </cdr:relSizeAnchor>
  <cdr:relSizeAnchor xmlns:cdr="http://schemas.openxmlformats.org/drawingml/2006/chartDrawing">
    <cdr:from>
      <cdr:x>0.5</cdr:x>
      <cdr:y>0.49927</cdr:y>
    </cdr:from>
    <cdr:to>
      <cdr:x>0.52871</cdr:x>
      <cdr:y>0.54227</cdr:y>
    </cdr:to>
    <cdr:sp macro="" textlink="">
      <cdr:nvSpPr>
        <cdr:cNvPr id="2050" name="Text Box 2"/>
        <cdr:cNvSpPr txBox="1">
          <a:spLocks xmlns:a="http://schemas.openxmlformats.org/drawingml/2006/main" noChangeArrowheads="1"/>
        </cdr:cNvSpPr>
      </cdr:nvSpPr>
      <cdr:spPr bwMode="auto">
        <a:xfrm xmlns:a="http://schemas.openxmlformats.org/drawingml/2006/main">
          <a:off x="2593975" y="2109869"/>
          <a:ext cx="148776" cy="18147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cs-CZ"/>
        </a:p>
      </cdr:txBody>
    </cdr:sp>
  </cdr:relSizeAnchor>
  <cdr:relSizeAnchor xmlns:cdr="http://schemas.openxmlformats.org/drawingml/2006/chartDrawing">
    <cdr:from>
      <cdr:x>0.95032</cdr:x>
      <cdr:y>0.08801</cdr:y>
    </cdr:from>
    <cdr:to>
      <cdr:x>0.99081</cdr:x>
      <cdr:y>0.20775</cdr:y>
    </cdr:to>
    <cdr:sp macro="" textlink="" fLocksText="0">
      <cdr:nvSpPr>
        <cdr:cNvPr id="4" name="text 1"/>
        <cdr:cNvSpPr txBox="1">
          <a:spLocks xmlns:a="http://schemas.openxmlformats.org/drawingml/2006/main" noChangeArrowheads="1"/>
        </cdr:cNvSpPr>
      </cdr:nvSpPr>
      <cdr:spPr bwMode="auto">
        <a:xfrm xmlns:a="http://schemas.openxmlformats.org/drawingml/2006/main">
          <a:off x="4927338" y="374560"/>
          <a:ext cx="209812" cy="50522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0"/>
              </a:solidFill>
            </a14:hiddenFill>
          </a:ext>
          <a:ext uri="{91240B29-F687-4F45-9708-019B960494DF}">
            <a14:hiddenLine xmlns:a14="http://schemas.microsoft.com/office/drawing/2010/main" w="9525">
              <a:solidFill>
                <a:srgbClr xmlns:mc="http://schemas.openxmlformats.org/markup-compatibility/2006" val="000000" mc:Ignorable="a14" a14:legacySpreadsheetColorIndex="0"/>
              </a:solidFill>
              <a:miter lim="800000"/>
              <a:headEnd/>
              <a:tailEnd/>
            </a14:hiddenLine>
          </a:ext>
        </a:extLst>
      </cdr:spPr>
      <cdr:txBody>
        <a:bodyPr xmlns:a="http://schemas.openxmlformats.org/drawingml/2006/main" vertOverflow="clip" vert="vert270" wrap="square" lIns="27432" tIns="22860" rIns="27432" bIns="0" anchor="ctr" upright="1"/>
        <a:lstStyle xmlns:a="http://schemas.openxmlformats.org/drawingml/2006/main"/>
        <a:p xmlns:a="http://schemas.openxmlformats.org/drawingml/2006/main">
          <a:pPr algn="r" rtl="0">
            <a:defRPr sz="1000"/>
          </a:pPr>
          <a:r>
            <a:rPr lang="cs-CZ" sz="1000" b="1" i="0" u="none" strike="noStrike" baseline="0">
              <a:solidFill>
                <a:srgbClr val="000000"/>
              </a:solidFill>
              <a:latin typeface="Arial"/>
              <a:cs typeface="Arial"/>
            </a:rPr>
            <a:t>tis. Kč</a:t>
          </a:r>
          <a:endParaRPr lang="cs-CZ"/>
        </a:p>
      </cdr:txBody>
    </cdr:sp>
  </cdr:relSizeAnchor>
  <cdr:relSizeAnchor xmlns:cdr="http://schemas.openxmlformats.org/drawingml/2006/chartDrawing">
    <cdr:from>
      <cdr:x>0.5</cdr:x>
      <cdr:y>0.51955</cdr:y>
    </cdr:from>
    <cdr:to>
      <cdr:x>0.52871</cdr:x>
      <cdr:y>0.56451</cdr:y>
    </cdr:to>
    <cdr:sp macro="" textlink="">
      <cdr:nvSpPr>
        <cdr:cNvPr id="5" name="Text Box 2"/>
        <cdr:cNvSpPr txBox="1">
          <a:spLocks xmlns:a="http://schemas.openxmlformats.org/drawingml/2006/main" noChangeArrowheads="1"/>
        </cdr:cNvSpPr>
      </cdr:nvSpPr>
      <cdr:spPr bwMode="auto">
        <a:xfrm xmlns:a="http://schemas.openxmlformats.org/drawingml/2006/main">
          <a:off x="2593975" y="2195449"/>
          <a:ext cx="148776" cy="18971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cs-CZ"/>
        </a:p>
      </cdr:txBody>
    </cdr:sp>
  </cdr:relSizeAnchor>
  <cdr:relSizeAnchor xmlns:cdr="http://schemas.openxmlformats.org/drawingml/2006/chartDrawing">
    <cdr:from>
      <cdr:x>0.95032</cdr:x>
      <cdr:y>0.08801</cdr:y>
    </cdr:from>
    <cdr:to>
      <cdr:x>0.99081</cdr:x>
      <cdr:y>0.20775</cdr:y>
    </cdr:to>
    <cdr:sp macro="" textlink="" fLocksText="0">
      <cdr:nvSpPr>
        <cdr:cNvPr id="157697" name="text 1"/>
        <cdr:cNvSpPr txBox="1">
          <a:spLocks xmlns:a="http://schemas.openxmlformats.org/drawingml/2006/main" noChangeArrowheads="1"/>
        </cdr:cNvSpPr>
      </cdr:nvSpPr>
      <cdr:spPr bwMode="auto">
        <a:xfrm xmlns:a="http://schemas.openxmlformats.org/drawingml/2006/main">
          <a:off x="4927338" y="374560"/>
          <a:ext cx="209812" cy="50522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0"/>
              </a:solidFill>
            </a14:hiddenFill>
          </a:ext>
          <a:ext uri="{91240B29-F687-4F45-9708-019B960494DF}">
            <a14:hiddenLine xmlns:a14="http://schemas.microsoft.com/office/drawing/2010/main" w="9525">
              <a:solidFill>
                <a:srgbClr xmlns:mc="http://schemas.openxmlformats.org/markup-compatibility/2006" val="000000" mc:Ignorable="a14" a14:legacySpreadsheetColorIndex="0"/>
              </a:solidFill>
              <a:miter lim="800000"/>
              <a:headEnd/>
              <a:tailEnd/>
            </a14:hiddenLine>
          </a:ext>
        </a:extLst>
      </cdr:spPr>
      <cdr:txBody>
        <a:bodyPr xmlns:a="http://schemas.openxmlformats.org/drawingml/2006/main" vertOverflow="clip" vert="vert270" wrap="square" lIns="27432" tIns="22860" rIns="27432" bIns="0" anchor="ctr" upright="1"/>
        <a:lstStyle xmlns:a="http://schemas.openxmlformats.org/drawingml/2006/main"/>
        <a:p xmlns:a="http://schemas.openxmlformats.org/drawingml/2006/main">
          <a:pPr algn="r" rtl="0">
            <a:defRPr sz="1000"/>
          </a:pPr>
          <a:r>
            <a:rPr lang="cs-CZ" sz="1000" b="1" i="0" u="none" strike="noStrike" baseline="0">
              <a:solidFill>
                <a:srgbClr val="000000"/>
              </a:solidFill>
              <a:latin typeface="Arial"/>
              <a:cs typeface="Arial"/>
            </a:rPr>
            <a:t>tis. Kč</a:t>
          </a:r>
          <a:endParaRPr lang="cs-CZ"/>
        </a:p>
      </cdr:txBody>
    </cdr:sp>
  </cdr:relSizeAnchor>
  <cdr:relSizeAnchor xmlns:cdr="http://schemas.openxmlformats.org/drawingml/2006/chartDrawing">
    <cdr:from>
      <cdr:x>0.5</cdr:x>
      <cdr:y>0.51955</cdr:y>
    </cdr:from>
    <cdr:to>
      <cdr:x>0.52871</cdr:x>
      <cdr:y>0.56451</cdr:y>
    </cdr:to>
    <cdr:sp macro="" textlink="">
      <cdr:nvSpPr>
        <cdr:cNvPr id="157698" name="Text Box 2"/>
        <cdr:cNvSpPr txBox="1">
          <a:spLocks xmlns:a="http://schemas.openxmlformats.org/drawingml/2006/main" noChangeArrowheads="1"/>
        </cdr:cNvSpPr>
      </cdr:nvSpPr>
      <cdr:spPr bwMode="auto">
        <a:xfrm xmlns:a="http://schemas.openxmlformats.org/drawingml/2006/main">
          <a:off x="2593975" y="2195449"/>
          <a:ext cx="148776" cy="18971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cs-CZ"/>
        </a:p>
      </cdr:txBody>
    </cdr:sp>
  </cdr:relSizeAnchor>
  <cdr:relSizeAnchor xmlns:cdr="http://schemas.openxmlformats.org/drawingml/2006/chartDrawing">
    <cdr:from>
      <cdr:x>0.95032</cdr:x>
      <cdr:y>0.08801</cdr:y>
    </cdr:from>
    <cdr:to>
      <cdr:x>0.99081</cdr:x>
      <cdr:y>0.20775</cdr:y>
    </cdr:to>
    <cdr:sp macro="" textlink="" fLocksText="0">
      <cdr:nvSpPr>
        <cdr:cNvPr id="6" name="text 1"/>
        <cdr:cNvSpPr txBox="1">
          <a:spLocks xmlns:a="http://schemas.openxmlformats.org/drawingml/2006/main" noChangeArrowheads="1"/>
        </cdr:cNvSpPr>
      </cdr:nvSpPr>
      <cdr:spPr bwMode="auto">
        <a:xfrm xmlns:a="http://schemas.openxmlformats.org/drawingml/2006/main">
          <a:off x="4915126" y="370527"/>
          <a:ext cx="209418" cy="5041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0"/>
              </a:solidFill>
            </a14:hiddenFill>
          </a:ext>
          <a:ext uri="{91240B29-F687-4F45-9708-019B960494DF}">
            <a14:hiddenLine xmlns:a14="http://schemas.microsoft.com/office/drawing/2010/main" w="9525">
              <a:solidFill>
                <a:srgbClr xmlns:mc="http://schemas.openxmlformats.org/markup-compatibility/2006" val="000000" mc:Ignorable="a14" a14:legacySpreadsheetColorIndex="0"/>
              </a:solidFill>
              <a:miter lim="800000"/>
              <a:headEnd/>
              <a:tailEnd/>
            </a14:hiddenLine>
          </a:ext>
        </a:extLst>
      </cdr:spPr>
      <cdr:txBody>
        <a:bodyPr xmlns:a="http://schemas.openxmlformats.org/drawingml/2006/main" vertOverflow="clip" vert="vert270" wrap="square" lIns="27432" tIns="22860" rIns="27432" bIns="0" anchor="ctr" upright="1"/>
        <a:lstStyle xmlns:a="http://schemas.openxmlformats.org/drawingml/2006/main"/>
        <a:p xmlns:a="http://schemas.openxmlformats.org/drawingml/2006/main">
          <a:pPr algn="r" rtl="0">
            <a:defRPr sz="1000"/>
          </a:pPr>
          <a:r>
            <a:rPr lang="cs-CZ" sz="1000" b="1" i="0" u="none" strike="noStrike" baseline="0">
              <a:solidFill>
                <a:srgbClr val="000000"/>
              </a:solidFill>
              <a:latin typeface="Arial"/>
              <a:cs typeface="Arial"/>
            </a:rPr>
            <a:t>tis. Kč</a:t>
          </a:r>
          <a:endParaRPr lang="cs-CZ"/>
        </a:p>
      </cdr:txBody>
    </cdr:sp>
  </cdr:relSizeAnchor>
  <cdr:relSizeAnchor xmlns:cdr="http://schemas.openxmlformats.org/drawingml/2006/chartDrawing">
    <cdr:from>
      <cdr:x>0.5</cdr:x>
      <cdr:y>0.51955</cdr:y>
    </cdr:from>
    <cdr:to>
      <cdr:x>0.52871</cdr:x>
      <cdr:y>0.56451</cdr:y>
    </cdr:to>
    <cdr:sp macro="" textlink="">
      <cdr:nvSpPr>
        <cdr:cNvPr id="7" name="Text Box 2"/>
        <cdr:cNvSpPr txBox="1">
          <a:spLocks xmlns:a="http://schemas.openxmlformats.org/drawingml/2006/main" noChangeArrowheads="1"/>
        </cdr:cNvSpPr>
      </cdr:nvSpPr>
      <cdr:spPr bwMode="auto">
        <a:xfrm xmlns:a="http://schemas.openxmlformats.org/drawingml/2006/main">
          <a:off x="2593975" y="2195449"/>
          <a:ext cx="148776" cy="18971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cs-CZ"/>
        </a:p>
      </cdr:txBody>
    </cdr:sp>
  </cdr:relSizeAnchor>
</c:userShape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1755</Words>
  <Characters>10361</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Finance</vt:lpstr>
    </vt:vector>
  </TitlesOfParts>
  <Company>Jilemnice</Company>
  <LinksUpToDate>false</LinksUpToDate>
  <CharactersWithSpaces>12092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dc:title>
  <dc:creator>Kynčlová</dc:creator>
  <cp:lastModifiedBy>Město Jilemnice</cp:lastModifiedBy>
  <cp:revision>12</cp:revision>
  <cp:lastPrinted>2015-02-16T15:46:00Z</cp:lastPrinted>
  <dcterms:created xsi:type="dcterms:W3CDTF">2018-02-01T10:14:00Z</dcterms:created>
  <dcterms:modified xsi:type="dcterms:W3CDTF">2018-02-12T12:39:00Z</dcterms:modified>
</cp:coreProperties>
</file>