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04" w:rsidRPr="006C0DFD" w:rsidRDefault="00683748" w:rsidP="00B72C5A">
      <w:pPr>
        <w:pStyle w:val="Nadpis1"/>
        <w:ind w:left="-142" w:right="-567" w:firstLine="142"/>
      </w:pPr>
      <w:r>
        <w:t>Návrh závěrečného</w:t>
      </w:r>
      <w:r w:rsidR="00ED03D1" w:rsidRPr="006C0DFD">
        <w:t xml:space="preserve"> úč</w:t>
      </w:r>
      <w:r>
        <w:t>tu</w:t>
      </w:r>
      <w:r w:rsidR="00ED03D1" w:rsidRPr="006C0DFD">
        <w:t xml:space="preserve"> </w:t>
      </w:r>
      <w:r w:rsidR="003B7FD9" w:rsidRPr="006C0DFD">
        <w:t>m</w:t>
      </w:r>
      <w:r w:rsidR="00131904" w:rsidRPr="006C0DFD">
        <w:t>ěsta Jilemnice za rok 20</w:t>
      </w:r>
      <w:r w:rsidR="00F96FE4" w:rsidRPr="006C0DFD">
        <w:t>1</w:t>
      </w:r>
      <w:r>
        <w:t>8</w:t>
      </w:r>
    </w:p>
    <w:p w:rsidR="005643D0" w:rsidRPr="005643D0" w:rsidRDefault="005643D0" w:rsidP="005643D0"/>
    <w:p w:rsidR="00131904" w:rsidRDefault="00131904">
      <w:pPr>
        <w:rPr>
          <w:b/>
          <w:sz w:val="24"/>
        </w:rPr>
      </w:pPr>
      <w:r>
        <w:rPr>
          <w:b/>
          <w:sz w:val="24"/>
        </w:rPr>
        <w:t>(podle § 17 zákona č. 250/2000 Sb. o rozpočtových pravidlech územních rozpočtů)</w:t>
      </w:r>
    </w:p>
    <w:p w:rsidR="00131904" w:rsidRDefault="00131904">
      <w:pPr>
        <w:rPr>
          <w:b/>
          <w:sz w:val="24"/>
        </w:rPr>
      </w:pPr>
    </w:p>
    <w:p w:rsidR="00DA60EB" w:rsidRPr="00DA60EB" w:rsidRDefault="00131904" w:rsidP="00DA60EB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Údaje o plnění příjmů a výdajů za rok </w:t>
      </w:r>
      <w:r w:rsidR="00EA311A">
        <w:rPr>
          <w:b/>
          <w:sz w:val="24"/>
        </w:rPr>
        <w:t>201</w:t>
      </w:r>
      <w:r w:rsidR="00683748">
        <w:rPr>
          <w:b/>
          <w:sz w:val="24"/>
        </w:rPr>
        <w:t>8</w:t>
      </w:r>
      <w:r w:rsidR="00665DB7">
        <w:rPr>
          <w:b/>
          <w:sz w:val="24"/>
        </w:rPr>
        <w:t xml:space="preserve"> (údaje v tis. Kč)</w:t>
      </w:r>
    </w:p>
    <w:p w:rsidR="00131904" w:rsidRPr="00AF3681" w:rsidRDefault="00131904">
      <w:pPr>
        <w:rPr>
          <w:sz w:val="22"/>
          <w:szCs w:val="22"/>
        </w:rPr>
      </w:pPr>
    </w:p>
    <w:tbl>
      <w:tblPr>
        <w:tblW w:w="981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1040"/>
        <w:gridCol w:w="840"/>
        <w:gridCol w:w="1060"/>
        <w:gridCol w:w="550"/>
        <w:gridCol w:w="1188"/>
        <w:gridCol w:w="957"/>
        <w:gridCol w:w="1620"/>
      </w:tblGrid>
      <w:tr w:rsidR="00683748" w:rsidTr="00DA3005">
        <w:trPr>
          <w:trHeight w:val="255"/>
        </w:trPr>
        <w:tc>
          <w:tcPr>
            <w:tcW w:w="256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Rozpočet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Změna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Upravený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Plnění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rozdíl plnění 2018</w:t>
            </w:r>
          </w:p>
        </w:tc>
      </w:tr>
      <w:tr w:rsidR="00683748" w:rsidTr="00DA3005">
        <w:trPr>
          <w:trHeight w:val="27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rozpočet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4.Q.2018</w:t>
            </w:r>
            <w:proofErr w:type="gramEnd"/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 rozpočtu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proti rozpočtu 2018</w:t>
            </w:r>
          </w:p>
        </w:tc>
      </w:tr>
      <w:tr w:rsidR="00683748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 1 - Daňové příjmy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91 121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91 121,000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95 465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4 344</w:t>
            </w:r>
          </w:p>
        </w:tc>
      </w:tr>
      <w:tr w:rsidR="00683748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 2 - Nedaňové příjmy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27 406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2 400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29 805,913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30 141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335</w:t>
            </w:r>
          </w:p>
        </w:tc>
      </w:tr>
      <w:tr w:rsidR="00683748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 3 - Kapitálové příjmy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8 150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8 150,000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2 793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-5 357</w:t>
            </w:r>
          </w:p>
        </w:tc>
      </w:tr>
      <w:tr w:rsidR="00683748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 4 - Přijaté dotace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30 510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28 104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58 613,721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58 635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</w:tr>
      <w:tr w:rsidR="00683748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Příjmy celkem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157 187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30 504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187 690,634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187 034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-657</w:t>
            </w:r>
          </w:p>
        </w:tc>
      </w:tr>
      <w:tr w:rsidR="00683748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 5 - Běžné výdaje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141 863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10 978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152 840,958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141 517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-11 324</w:t>
            </w:r>
          </w:p>
        </w:tc>
      </w:tr>
      <w:tr w:rsidR="00683748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Třída 6 - Kapitálové výdaje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72 440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17 909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90 349,376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78 477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-11 872</w:t>
            </w:r>
          </w:p>
        </w:tc>
      </w:tr>
      <w:tr w:rsidR="00683748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Výdaje celkem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214 303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28 887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243 190,334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219 994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-23 196</w:t>
            </w:r>
          </w:p>
        </w:tc>
      </w:tr>
      <w:tr w:rsidR="00696131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83748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Saldo: Příjmy - výdaje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-57 116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1 616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-55 499,700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-32 961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22 539</w:t>
            </w:r>
          </w:p>
        </w:tc>
      </w:tr>
      <w:tr w:rsidR="00696131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96131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Třída 8 - financování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83748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Splátky úvěrů, dl. závazků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-1 616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-1 616,300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-1 616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</w:rPr>
            </w:pPr>
          </w:p>
        </w:tc>
      </w:tr>
      <w:tr w:rsidR="00683748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Přijetí  úvěru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683748">
              <w:rPr>
                <w:rFonts w:ascii="Arial" w:hAnsi="Arial" w:cs="Arial"/>
                <w:sz w:val="16"/>
                <w:szCs w:val="16"/>
              </w:rPr>
              <w:t>(chodník Čsl. Legií)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83748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Zůstatek z roku 2017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57 116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57 116,000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57 116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683748" w:rsidTr="00DA3005">
        <w:trPr>
          <w:trHeight w:val="255"/>
        </w:trPr>
        <w:tc>
          <w:tcPr>
            <w:tcW w:w="25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Pr="00683748" w:rsidRDefault="00683748">
            <w:pPr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Přebytek ( - ),   ztráta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 (+)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-22 539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3748" w:rsidRDefault="006837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96131" w:rsidTr="00DA3005">
        <w:trPr>
          <w:trHeight w:val="270"/>
        </w:trPr>
        <w:tc>
          <w:tcPr>
            <w:tcW w:w="2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131" w:rsidRDefault="0069613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</w:tbl>
    <w:p w:rsidR="008158D4" w:rsidRDefault="008158D4">
      <w:pPr>
        <w:pStyle w:val="Zkladntext"/>
        <w:rPr>
          <w:sz w:val="20"/>
        </w:rPr>
      </w:pPr>
    </w:p>
    <w:p w:rsidR="00131904" w:rsidRDefault="00131904">
      <w:pPr>
        <w:pStyle w:val="Zkladntext"/>
        <w:rPr>
          <w:sz w:val="20"/>
        </w:rPr>
      </w:pPr>
      <w:r>
        <w:rPr>
          <w:sz w:val="20"/>
        </w:rPr>
        <w:t>Podrobné členění dle</w:t>
      </w:r>
      <w:r w:rsidR="00AF3681">
        <w:rPr>
          <w:sz w:val="20"/>
        </w:rPr>
        <w:t xml:space="preserve"> jednotlivých paragrafů a </w:t>
      </w:r>
      <w:proofErr w:type="spellStart"/>
      <w:r w:rsidR="00AF3681">
        <w:rPr>
          <w:sz w:val="20"/>
        </w:rPr>
        <w:t>org</w:t>
      </w:r>
      <w:proofErr w:type="spellEnd"/>
      <w:r w:rsidR="00AF3681">
        <w:rPr>
          <w:sz w:val="20"/>
        </w:rPr>
        <w:t xml:space="preserve">. </w:t>
      </w:r>
      <w:r>
        <w:rPr>
          <w:sz w:val="20"/>
        </w:rPr>
        <w:t>je uvedeno v</w:t>
      </w:r>
      <w:r w:rsidR="001F170D">
        <w:rPr>
          <w:sz w:val="20"/>
        </w:rPr>
        <w:t> </w:t>
      </w:r>
      <w:r>
        <w:rPr>
          <w:sz w:val="20"/>
        </w:rPr>
        <w:t>příloze</w:t>
      </w:r>
      <w:r w:rsidR="001F170D">
        <w:rPr>
          <w:sz w:val="20"/>
        </w:rPr>
        <w:t>.</w:t>
      </w:r>
    </w:p>
    <w:p w:rsidR="004E3CAB" w:rsidRPr="003C1E33" w:rsidRDefault="004E3CAB" w:rsidP="004E3CAB">
      <w:pPr>
        <w:pStyle w:val="Nzev"/>
        <w:jc w:val="left"/>
        <w:outlineLvl w:val="0"/>
        <w:rPr>
          <w:sz w:val="24"/>
          <w:szCs w:val="24"/>
        </w:rPr>
      </w:pPr>
      <w:r w:rsidRPr="003C1E33">
        <w:rPr>
          <w:sz w:val="24"/>
          <w:szCs w:val="24"/>
        </w:rPr>
        <w:t xml:space="preserve">Hodnotící zpráva o hospodaření města Jilemnice za rok </w:t>
      </w:r>
      <w:r w:rsidR="00DA3005" w:rsidRPr="003C1E33">
        <w:rPr>
          <w:sz w:val="24"/>
          <w:szCs w:val="24"/>
        </w:rPr>
        <w:t>201</w:t>
      </w:r>
      <w:r w:rsidR="006522C1" w:rsidRPr="003C1E33">
        <w:rPr>
          <w:sz w:val="24"/>
          <w:szCs w:val="24"/>
        </w:rPr>
        <w:t>8</w:t>
      </w:r>
    </w:p>
    <w:p w:rsidR="004E3CAB" w:rsidRPr="003C1E33" w:rsidRDefault="004E3CAB" w:rsidP="004E3CAB">
      <w:pPr>
        <w:outlineLvl w:val="0"/>
        <w:rPr>
          <w:sz w:val="24"/>
          <w:szCs w:val="24"/>
        </w:rPr>
      </w:pPr>
      <w:r w:rsidRPr="003C1E33">
        <w:rPr>
          <w:b/>
          <w:sz w:val="24"/>
          <w:szCs w:val="24"/>
        </w:rPr>
        <w:t>Příjmy:</w:t>
      </w:r>
      <w:r w:rsidRPr="003C1E33">
        <w:rPr>
          <w:sz w:val="24"/>
          <w:szCs w:val="24"/>
        </w:rPr>
        <w:t xml:space="preserve"> </w:t>
      </w:r>
    </w:p>
    <w:p w:rsidR="003B6EAB" w:rsidRPr="003C1E33" w:rsidRDefault="004E3CAB" w:rsidP="00071FD2">
      <w:pPr>
        <w:pStyle w:val="Zkladntext"/>
        <w:ind w:firstLine="357"/>
        <w:jc w:val="both"/>
        <w:rPr>
          <w:szCs w:val="24"/>
        </w:rPr>
      </w:pPr>
      <w:r w:rsidRPr="003C1E33">
        <w:rPr>
          <w:szCs w:val="24"/>
        </w:rPr>
        <w:t>Celkové příjmy města za rok 201</w:t>
      </w:r>
      <w:r w:rsidR="006522C1" w:rsidRPr="003C1E33">
        <w:rPr>
          <w:szCs w:val="24"/>
        </w:rPr>
        <w:t xml:space="preserve">8 </w:t>
      </w:r>
      <w:r w:rsidRPr="003C1E33">
        <w:rPr>
          <w:szCs w:val="24"/>
        </w:rPr>
        <w:t xml:space="preserve">dosáhly </w:t>
      </w:r>
      <w:r w:rsidR="006522C1" w:rsidRPr="003C1E33">
        <w:rPr>
          <w:szCs w:val="24"/>
        </w:rPr>
        <w:t>187.034</w:t>
      </w:r>
      <w:r w:rsidRPr="003C1E33">
        <w:rPr>
          <w:szCs w:val="24"/>
        </w:rPr>
        <w:t xml:space="preserve"> tis. Kč, což odpovídá </w:t>
      </w:r>
      <w:r w:rsidR="006522C1" w:rsidRPr="003C1E33">
        <w:rPr>
          <w:szCs w:val="24"/>
        </w:rPr>
        <w:t>99,6</w:t>
      </w:r>
      <w:r w:rsidRPr="003C1E33">
        <w:rPr>
          <w:szCs w:val="24"/>
        </w:rPr>
        <w:t xml:space="preserve"> </w:t>
      </w:r>
      <w:r w:rsidR="006C11FB" w:rsidRPr="003C1E33">
        <w:rPr>
          <w:szCs w:val="24"/>
        </w:rPr>
        <w:t xml:space="preserve">% upraveného rozpočtu (dále UR). Celkové daňové příjmy dosáhly částky </w:t>
      </w:r>
      <w:r w:rsidR="006522C1" w:rsidRPr="003C1E33">
        <w:rPr>
          <w:szCs w:val="24"/>
        </w:rPr>
        <w:t>95.465</w:t>
      </w:r>
      <w:r w:rsidR="006C11FB" w:rsidRPr="003C1E33">
        <w:rPr>
          <w:szCs w:val="24"/>
        </w:rPr>
        <w:t xml:space="preserve"> tis. Kč</w:t>
      </w:r>
      <w:r w:rsidR="0000021B">
        <w:rPr>
          <w:szCs w:val="24"/>
        </w:rPr>
        <w:t xml:space="preserve"> (104,8% UR)</w:t>
      </w:r>
      <w:r w:rsidR="006C11FB" w:rsidRPr="003C1E33">
        <w:rPr>
          <w:szCs w:val="24"/>
        </w:rPr>
        <w:t xml:space="preserve">, </w:t>
      </w:r>
      <w:r w:rsidR="00866CF1" w:rsidRPr="003C1E33">
        <w:rPr>
          <w:szCs w:val="24"/>
        </w:rPr>
        <w:t xml:space="preserve">což je o </w:t>
      </w:r>
      <w:r w:rsidR="006522C1" w:rsidRPr="003C1E33">
        <w:rPr>
          <w:szCs w:val="24"/>
        </w:rPr>
        <w:t>4.344</w:t>
      </w:r>
      <w:r w:rsidR="00915EA2" w:rsidRPr="003C1E33">
        <w:rPr>
          <w:szCs w:val="24"/>
        </w:rPr>
        <w:t xml:space="preserve"> tis.</w:t>
      </w:r>
      <w:r w:rsidR="0000021B">
        <w:rPr>
          <w:szCs w:val="24"/>
        </w:rPr>
        <w:t xml:space="preserve"> Kč </w:t>
      </w:r>
      <w:r w:rsidR="00866CF1" w:rsidRPr="003C1E33">
        <w:rPr>
          <w:szCs w:val="24"/>
        </w:rPr>
        <w:t>více,</w:t>
      </w:r>
      <w:r w:rsidR="003C1E33">
        <w:rPr>
          <w:szCs w:val="24"/>
        </w:rPr>
        <w:t xml:space="preserve"> než</w:t>
      </w:r>
      <w:r w:rsidR="00866CF1" w:rsidRPr="003C1E33">
        <w:rPr>
          <w:szCs w:val="24"/>
        </w:rPr>
        <w:t xml:space="preserve"> </w:t>
      </w:r>
      <w:r w:rsidR="00852ED7" w:rsidRPr="003C1E33">
        <w:rPr>
          <w:szCs w:val="24"/>
        </w:rPr>
        <w:t>bylo plánováno</w:t>
      </w:r>
      <w:r w:rsidR="00E1774E" w:rsidRPr="003C1E33">
        <w:rPr>
          <w:szCs w:val="24"/>
        </w:rPr>
        <w:t>.</w:t>
      </w:r>
      <w:r w:rsidR="007837AD" w:rsidRPr="003C1E33">
        <w:rPr>
          <w:szCs w:val="24"/>
        </w:rPr>
        <w:t xml:space="preserve"> Rozpočet sdílených a výlučných daní počítal </w:t>
      </w:r>
      <w:r w:rsidR="006522C1" w:rsidRPr="003C1E33">
        <w:rPr>
          <w:szCs w:val="24"/>
        </w:rPr>
        <w:t xml:space="preserve">s </w:t>
      </w:r>
      <w:r w:rsidR="007837AD" w:rsidRPr="003C1E33">
        <w:rPr>
          <w:szCs w:val="24"/>
        </w:rPr>
        <w:t xml:space="preserve">částkou </w:t>
      </w:r>
      <w:r w:rsidR="006522C1" w:rsidRPr="003C1E33">
        <w:rPr>
          <w:szCs w:val="24"/>
        </w:rPr>
        <w:t>75.500</w:t>
      </w:r>
      <w:r w:rsidR="007837AD" w:rsidRPr="003C1E33">
        <w:rPr>
          <w:szCs w:val="24"/>
        </w:rPr>
        <w:t xml:space="preserve"> tis. Kč, ve skutečnosti byly tyto příjmy </w:t>
      </w:r>
      <w:r w:rsidR="00206E45" w:rsidRPr="003C1E33">
        <w:rPr>
          <w:szCs w:val="24"/>
        </w:rPr>
        <w:t>nejvyšší od roku 1993</w:t>
      </w:r>
      <w:r w:rsidR="007837AD" w:rsidRPr="003C1E33">
        <w:rPr>
          <w:szCs w:val="24"/>
        </w:rPr>
        <w:t xml:space="preserve"> a dosáhly částky </w:t>
      </w:r>
      <w:r w:rsidR="006522C1" w:rsidRPr="003C1E33">
        <w:rPr>
          <w:szCs w:val="24"/>
        </w:rPr>
        <w:t>79.178</w:t>
      </w:r>
      <w:r w:rsidR="007837AD" w:rsidRPr="003C1E33">
        <w:rPr>
          <w:szCs w:val="24"/>
        </w:rPr>
        <w:t xml:space="preserve"> tis. Kč. </w:t>
      </w:r>
      <w:r w:rsidR="00DA3005" w:rsidRPr="003C1E33">
        <w:rPr>
          <w:szCs w:val="24"/>
        </w:rPr>
        <w:t xml:space="preserve">Byl tedy zaznamenán pozitivní vliv růstu celého hospodářství ČR. </w:t>
      </w:r>
      <w:r w:rsidRPr="003C1E33">
        <w:rPr>
          <w:szCs w:val="24"/>
        </w:rPr>
        <w:t xml:space="preserve">Nedaňové příjmy </w:t>
      </w:r>
      <w:r w:rsidR="007837AD" w:rsidRPr="003C1E33">
        <w:rPr>
          <w:szCs w:val="24"/>
        </w:rPr>
        <w:t xml:space="preserve">dosáhly částky </w:t>
      </w:r>
      <w:r w:rsidR="006522C1" w:rsidRPr="003C1E33">
        <w:rPr>
          <w:szCs w:val="24"/>
        </w:rPr>
        <w:t>30.141</w:t>
      </w:r>
      <w:r w:rsidR="007837AD" w:rsidRPr="003C1E33">
        <w:rPr>
          <w:szCs w:val="24"/>
        </w:rPr>
        <w:t xml:space="preserve"> tis. Kč</w:t>
      </w:r>
      <w:r w:rsidR="003B6EAB" w:rsidRPr="003C1E33">
        <w:rPr>
          <w:szCs w:val="24"/>
        </w:rPr>
        <w:t xml:space="preserve"> </w:t>
      </w:r>
      <w:r w:rsidR="007837AD" w:rsidRPr="003C1E33">
        <w:rPr>
          <w:szCs w:val="24"/>
        </w:rPr>
        <w:t>(</w:t>
      </w:r>
      <w:r w:rsidR="006522C1" w:rsidRPr="003C1E33">
        <w:rPr>
          <w:szCs w:val="24"/>
        </w:rPr>
        <w:t>101,1</w:t>
      </w:r>
      <w:r w:rsidR="007837AD" w:rsidRPr="003C1E33">
        <w:rPr>
          <w:szCs w:val="24"/>
        </w:rPr>
        <w:t>%</w:t>
      </w:r>
      <w:r w:rsidR="00071FD2" w:rsidRPr="003C1E33">
        <w:rPr>
          <w:szCs w:val="24"/>
        </w:rPr>
        <w:t xml:space="preserve"> UR</w:t>
      </w:r>
      <w:r w:rsidR="00206E45" w:rsidRPr="003C1E33">
        <w:rPr>
          <w:szCs w:val="24"/>
        </w:rPr>
        <w:t>). V této oblasti nebyly splněny především naplánova</w:t>
      </w:r>
      <w:r w:rsidR="00DA3005" w:rsidRPr="003C1E33">
        <w:rPr>
          <w:szCs w:val="24"/>
        </w:rPr>
        <w:t>né příjmy bytového hospodářství a příjem ze sankčních plateb, výpadek</w:t>
      </w:r>
      <w:r w:rsidR="006522C1" w:rsidRPr="003C1E33">
        <w:rPr>
          <w:szCs w:val="24"/>
        </w:rPr>
        <w:t xml:space="preserve"> byl kompenzován ostatními nedaňovými příjmy.</w:t>
      </w:r>
    </w:p>
    <w:p w:rsidR="003C1E33" w:rsidRPr="003C1E33" w:rsidRDefault="006522C1" w:rsidP="00E1774E">
      <w:pPr>
        <w:pStyle w:val="Zkladntext"/>
        <w:ind w:firstLine="357"/>
        <w:jc w:val="both"/>
        <w:rPr>
          <w:szCs w:val="24"/>
        </w:rPr>
      </w:pPr>
      <w:r w:rsidRPr="003C1E33">
        <w:rPr>
          <w:szCs w:val="24"/>
        </w:rPr>
        <w:t>Bohužel se v roce 2018 nepodařilo splnit k</w:t>
      </w:r>
      <w:r w:rsidR="003B6EAB" w:rsidRPr="003C1E33">
        <w:rPr>
          <w:szCs w:val="24"/>
        </w:rPr>
        <w:t>apitálové příjmy</w:t>
      </w:r>
      <w:r w:rsidRPr="003C1E33">
        <w:rPr>
          <w:szCs w:val="24"/>
        </w:rPr>
        <w:t xml:space="preserve">. Z rozpočtované částky 8.150 tis. Kč činila skutečnost </w:t>
      </w:r>
      <w:r w:rsidR="003C1E33" w:rsidRPr="003C1E33">
        <w:rPr>
          <w:szCs w:val="24"/>
        </w:rPr>
        <w:t xml:space="preserve">2.793 tis. Kč, což představuje plnění jen 34,3%. Nebyly realizovány prodeje pozemků v lokalitě Nouzov (přesun do r. 2019), nepodařilo se uskutečnit již schválený prodej nemovitosti čp. 21 a </w:t>
      </w:r>
      <w:r w:rsidR="00276E2A" w:rsidRPr="003C1E33">
        <w:rPr>
          <w:szCs w:val="24"/>
        </w:rPr>
        <w:t xml:space="preserve">pokračoval </w:t>
      </w:r>
      <w:r w:rsidR="003C1E33" w:rsidRPr="003C1E33">
        <w:rPr>
          <w:szCs w:val="24"/>
        </w:rPr>
        <w:t xml:space="preserve">i </w:t>
      </w:r>
      <w:r w:rsidR="00276E2A" w:rsidRPr="003C1E33">
        <w:rPr>
          <w:szCs w:val="24"/>
        </w:rPr>
        <w:t>nezájem</w:t>
      </w:r>
      <w:r w:rsidR="00226B9C" w:rsidRPr="003C1E33">
        <w:rPr>
          <w:szCs w:val="24"/>
        </w:rPr>
        <w:t xml:space="preserve"> o </w:t>
      </w:r>
      <w:r w:rsidR="00276E2A" w:rsidRPr="003C1E33">
        <w:rPr>
          <w:szCs w:val="24"/>
        </w:rPr>
        <w:t>koupi bytů daných k</w:t>
      </w:r>
      <w:r w:rsidR="003C1E33" w:rsidRPr="003C1E33">
        <w:rPr>
          <w:szCs w:val="24"/>
        </w:rPr>
        <w:t> </w:t>
      </w:r>
      <w:r w:rsidR="00276E2A" w:rsidRPr="003C1E33">
        <w:rPr>
          <w:szCs w:val="24"/>
        </w:rPr>
        <w:t>privatizaci</w:t>
      </w:r>
      <w:r w:rsidR="003C1E33" w:rsidRPr="003C1E33">
        <w:rPr>
          <w:szCs w:val="24"/>
        </w:rPr>
        <w:t xml:space="preserve"> (aukce 3 prázdných bytů proběhla až na počátku roku 2019).</w:t>
      </w:r>
      <w:r w:rsidR="00226B9C" w:rsidRPr="003C1E33">
        <w:rPr>
          <w:szCs w:val="24"/>
        </w:rPr>
        <w:t xml:space="preserve"> </w:t>
      </w:r>
    </w:p>
    <w:p w:rsidR="00957F69" w:rsidRPr="003C1E33" w:rsidRDefault="00312F31" w:rsidP="00E1774E">
      <w:pPr>
        <w:pStyle w:val="Zkladntext"/>
        <w:ind w:firstLine="357"/>
        <w:jc w:val="both"/>
        <w:rPr>
          <w:szCs w:val="24"/>
        </w:rPr>
      </w:pPr>
      <w:r w:rsidRPr="003C1E33">
        <w:rPr>
          <w:szCs w:val="24"/>
        </w:rPr>
        <w:t xml:space="preserve">Přijaté dotace činily </w:t>
      </w:r>
      <w:r w:rsidR="003C1E33" w:rsidRPr="003C1E33">
        <w:rPr>
          <w:szCs w:val="24"/>
        </w:rPr>
        <w:t>58.635</w:t>
      </w:r>
      <w:r w:rsidR="00C74102" w:rsidRPr="003C1E33">
        <w:rPr>
          <w:szCs w:val="24"/>
        </w:rPr>
        <w:t>tis. Kč</w:t>
      </w:r>
      <w:r w:rsidRPr="003C1E33">
        <w:rPr>
          <w:szCs w:val="24"/>
        </w:rPr>
        <w:t xml:space="preserve"> (</w:t>
      </w:r>
      <w:r w:rsidR="00226B9C" w:rsidRPr="003C1E33">
        <w:rPr>
          <w:szCs w:val="24"/>
        </w:rPr>
        <w:t>100,</w:t>
      </w:r>
      <w:r w:rsidR="003C1E33" w:rsidRPr="003C1E33">
        <w:rPr>
          <w:szCs w:val="24"/>
        </w:rPr>
        <w:t xml:space="preserve">0 </w:t>
      </w:r>
      <w:r w:rsidRPr="003C1E33">
        <w:rPr>
          <w:szCs w:val="24"/>
        </w:rPr>
        <w:t>%</w:t>
      </w:r>
      <w:r w:rsidR="00071FD2" w:rsidRPr="003C1E33">
        <w:rPr>
          <w:szCs w:val="24"/>
        </w:rPr>
        <w:t xml:space="preserve"> UR</w:t>
      </w:r>
      <w:r w:rsidR="00E1774E" w:rsidRPr="003C1E33">
        <w:rPr>
          <w:szCs w:val="24"/>
        </w:rPr>
        <w:t>)</w:t>
      </w:r>
      <w:r w:rsidR="003C1E33" w:rsidRPr="003C1E33">
        <w:rPr>
          <w:szCs w:val="24"/>
        </w:rPr>
        <w:t xml:space="preserve">, z toho 38.449 tis. Kč byly dotace běžné a 20.186 tis. dotace kapitálové. </w:t>
      </w:r>
      <w:r w:rsidR="00F94B91" w:rsidRPr="003C1E33">
        <w:rPr>
          <w:szCs w:val="24"/>
        </w:rPr>
        <w:t xml:space="preserve">Celkem </w:t>
      </w:r>
      <w:r w:rsidR="001040F2" w:rsidRPr="003C1E33">
        <w:rPr>
          <w:szCs w:val="24"/>
        </w:rPr>
        <w:t xml:space="preserve">byl vykázán </w:t>
      </w:r>
      <w:r w:rsidR="003C1E33" w:rsidRPr="003C1E33">
        <w:rPr>
          <w:szCs w:val="24"/>
        </w:rPr>
        <w:t>schodek</w:t>
      </w:r>
      <w:r w:rsidR="001040F2" w:rsidRPr="003C1E33">
        <w:rPr>
          <w:szCs w:val="24"/>
        </w:rPr>
        <w:t xml:space="preserve"> příjmů oproti </w:t>
      </w:r>
      <w:proofErr w:type="gramStart"/>
      <w:r w:rsidR="001040F2" w:rsidRPr="003C1E33">
        <w:rPr>
          <w:szCs w:val="24"/>
        </w:rPr>
        <w:t>UR</w:t>
      </w:r>
      <w:proofErr w:type="gramEnd"/>
      <w:r w:rsidR="001040F2" w:rsidRPr="003C1E33">
        <w:rPr>
          <w:szCs w:val="24"/>
        </w:rPr>
        <w:t xml:space="preserve"> ve výši </w:t>
      </w:r>
      <w:r w:rsidR="003C1E33" w:rsidRPr="003C1E33">
        <w:rPr>
          <w:szCs w:val="24"/>
        </w:rPr>
        <w:t>657</w:t>
      </w:r>
      <w:r w:rsidR="00F94B91" w:rsidRPr="003C1E33">
        <w:rPr>
          <w:szCs w:val="24"/>
        </w:rPr>
        <w:t xml:space="preserve"> tis. Kč. </w:t>
      </w:r>
    </w:p>
    <w:p w:rsidR="004E3CAB" w:rsidRPr="0060244C" w:rsidRDefault="004E3CAB" w:rsidP="004E3CAB">
      <w:pPr>
        <w:pStyle w:val="Zkladntext"/>
        <w:outlineLvl w:val="0"/>
        <w:rPr>
          <w:b/>
          <w:szCs w:val="24"/>
        </w:rPr>
      </w:pPr>
      <w:r w:rsidRPr="0060244C">
        <w:rPr>
          <w:b/>
          <w:szCs w:val="24"/>
        </w:rPr>
        <w:t>Výdaje:</w:t>
      </w:r>
    </w:p>
    <w:p w:rsidR="004E3CAB" w:rsidRPr="0060244C" w:rsidRDefault="004E3CAB" w:rsidP="0098300E">
      <w:pPr>
        <w:pStyle w:val="Zkladntext"/>
        <w:ind w:firstLine="357"/>
        <w:jc w:val="both"/>
        <w:rPr>
          <w:szCs w:val="24"/>
        </w:rPr>
      </w:pPr>
      <w:r w:rsidRPr="0060244C">
        <w:rPr>
          <w:szCs w:val="24"/>
        </w:rPr>
        <w:t xml:space="preserve">Běžné i kapitálové výdaje byly čerpány dle upraveného rozpočtu. </w:t>
      </w:r>
      <w:r w:rsidR="002A5EE0" w:rsidRPr="0060244C">
        <w:rPr>
          <w:szCs w:val="24"/>
        </w:rPr>
        <w:t xml:space="preserve">RM schválila během roku </w:t>
      </w:r>
      <w:r w:rsidR="0000021B" w:rsidRPr="0060244C">
        <w:rPr>
          <w:szCs w:val="24"/>
        </w:rPr>
        <w:t>13</w:t>
      </w:r>
      <w:r w:rsidR="002A5EE0" w:rsidRPr="0060244C">
        <w:rPr>
          <w:szCs w:val="24"/>
        </w:rPr>
        <w:t xml:space="preserve"> rozpočtových opatřen</w:t>
      </w:r>
      <w:r w:rsidR="0000021B" w:rsidRPr="0060244C">
        <w:rPr>
          <w:szCs w:val="24"/>
        </w:rPr>
        <w:t>í, ZM celkem 12.</w:t>
      </w:r>
      <w:r w:rsidR="002A5EE0" w:rsidRPr="0060244C">
        <w:rPr>
          <w:szCs w:val="24"/>
        </w:rPr>
        <w:t xml:space="preserve"> </w:t>
      </w:r>
      <w:r w:rsidRPr="0060244C">
        <w:rPr>
          <w:szCs w:val="24"/>
        </w:rPr>
        <w:t xml:space="preserve">Financování jednotlivých operací probíhalo plynule, město nevyužívalo žádný překlenovací, či kontokorentní úvěr. Běžné výdaje činily </w:t>
      </w:r>
      <w:r w:rsidR="0000021B" w:rsidRPr="0060244C">
        <w:rPr>
          <w:szCs w:val="24"/>
        </w:rPr>
        <w:t>141.517</w:t>
      </w:r>
      <w:r w:rsidRPr="0060244C">
        <w:rPr>
          <w:szCs w:val="24"/>
        </w:rPr>
        <w:t xml:space="preserve"> tis. Kč, což je </w:t>
      </w:r>
      <w:r w:rsidR="0000021B" w:rsidRPr="0060244C">
        <w:rPr>
          <w:szCs w:val="24"/>
        </w:rPr>
        <w:t>92,6</w:t>
      </w:r>
      <w:r w:rsidR="001040F2" w:rsidRPr="0060244C">
        <w:rPr>
          <w:szCs w:val="24"/>
        </w:rPr>
        <w:t xml:space="preserve"> </w:t>
      </w:r>
      <w:r w:rsidRPr="0060244C">
        <w:rPr>
          <w:szCs w:val="24"/>
          <w:lang w:val="en-US"/>
        </w:rPr>
        <w:t>%</w:t>
      </w:r>
      <w:r w:rsidRPr="0060244C">
        <w:rPr>
          <w:szCs w:val="24"/>
        </w:rPr>
        <w:t xml:space="preserve"> UR</w:t>
      </w:r>
      <w:r w:rsidR="0000021B" w:rsidRPr="0060244C">
        <w:rPr>
          <w:szCs w:val="24"/>
        </w:rPr>
        <w:t xml:space="preserve">, kapitálové výdaje 78.477 tis. Kč, tedy 86,9% UR. </w:t>
      </w:r>
      <w:r w:rsidR="002A5EE0" w:rsidRPr="0060244C">
        <w:rPr>
          <w:szCs w:val="24"/>
        </w:rPr>
        <w:t xml:space="preserve"> </w:t>
      </w:r>
      <w:r w:rsidR="00226B9C" w:rsidRPr="0060244C">
        <w:rPr>
          <w:szCs w:val="24"/>
        </w:rPr>
        <w:t>Ve většině činností došlo k úspoře plánovaných výdajů</w:t>
      </w:r>
      <w:r w:rsidR="002A5EE0" w:rsidRPr="0060244C">
        <w:rPr>
          <w:szCs w:val="24"/>
        </w:rPr>
        <w:t>.</w:t>
      </w:r>
      <w:r w:rsidR="00414C9A" w:rsidRPr="0060244C">
        <w:rPr>
          <w:szCs w:val="24"/>
        </w:rPr>
        <w:t xml:space="preserve"> </w:t>
      </w:r>
      <w:r w:rsidR="0000021B" w:rsidRPr="0060244C">
        <w:rPr>
          <w:szCs w:val="24"/>
        </w:rPr>
        <w:t>Opětovně se nepodařilo dokončit či</w:t>
      </w:r>
      <w:r w:rsidR="00414C9A" w:rsidRPr="0060244C">
        <w:rPr>
          <w:szCs w:val="24"/>
        </w:rPr>
        <w:t xml:space="preserve"> uskutečnit </w:t>
      </w:r>
      <w:r w:rsidR="002A5EE0" w:rsidRPr="0060244C">
        <w:rPr>
          <w:szCs w:val="24"/>
        </w:rPr>
        <w:t xml:space="preserve">některé </w:t>
      </w:r>
      <w:r w:rsidR="00414C9A" w:rsidRPr="0060244C">
        <w:rPr>
          <w:szCs w:val="24"/>
        </w:rPr>
        <w:t>plánované investiční akce,</w:t>
      </w:r>
      <w:r w:rsidR="0000021B" w:rsidRPr="0060244C">
        <w:rPr>
          <w:szCs w:val="24"/>
        </w:rPr>
        <w:t xml:space="preserve"> ty přecházejí k financování do roku 2019.</w:t>
      </w:r>
      <w:r w:rsidR="00414C9A" w:rsidRPr="0060244C">
        <w:rPr>
          <w:szCs w:val="24"/>
        </w:rPr>
        <w:t xml:space="preserve"> Tabulka</w:t>
      </w:r>
      <w:r w:rsidR="003F6A0A" w:rsidRPr="0060244C">
        <w:rPr>
          <w:szCs w:val="24"/>
        </w:rPr>
        <w:t xml:space="preserve"> vyhodnocení přebytku hospodaření za rok 201</w:t>
      </w:r>
      <w:r w:rsidR="0000021B" w:rsidRPr="0060244C">
        <w:rPr>
          <w:szCs w:val="24"/>
        </w:rPr>
        <w:t>8</w:t>
      </w:r>
      <w:r w:rsidR="00414C9A" w:rsidRPr="0060244C">
        <w:rPr>
          <w:szCs w:val="24"/>
        </w:rPr>
        <w:t xml:space="preserve"> ukazuje přehled, v jakých činnostech byly vyšší, či nižší příjmy, kde se ušetřily výdajové prostředky a které akce přecházejí do příštího roku 201</w:t>
      </w:r>
      <w:r w:rsidR="0000021B" w:rsidRPr="0060244C">
        <w:rPr>
          <w:szCs w:val="24"/>
        </w:rPr>
        <w:t>9</w:t>
      </w:r>
      <w:r w:rsidR="001040F2" w:rsidRPr="0060244C">
        <w:rPr>
          <w:szCs w:val="24"/>
        </w:rPr>
        <w:t>.</w:t>
      </w:r>
      <w:r w:rsidRPr="0060244C">
        <w:rPr>
          <w:szCs w:val="24"/>
        </w:rPr>
        <w:t xml:space="preserve">  Největšími investičními akcemi města Jilemnice v r</w:t>
      </w:r>
      <w:r w:rsidR="001569F6" w:rsidRPr="0060244C">
        <w:rPr>
          <w:szCs w:val="24"/>
        </w:rPr>
        <w:t>oce</w:t>
      </w:r>
      <w:r w:rsidRPr="0060244C">
        <w:rPr>
          <w:szCs w:val="24"/>
        </w:rPr>
        <w:t xml:space="preserve"> 201</w:t>
      </w:r>
      <w:r w:rsidR="0060244C" w:rsidRPr="0060244C">
        <w:rPr>
          <w:szCs w:val="24"/>
        </w:rPr>
        <w:t>8</w:t>
      </w:r>
      <w:r w:rsidR="00AC7FB0" w:rsidRPr="0060244C">
        <w:rPr>
          <w:szCs w:val="24"/>
        </w:rPr>
        <w:t xml:space="preserve"> </w:t>
      </w:r>
      <w:r w:rsidRPr="0060244C">
        <w:rPr>
          <w:szCs w:val="24"/>
        </w:rPr>
        <w:t xml:space="preserve">byly: </w:t>
      </w:r>
    </w:p>
    <w:p w:rsidR="0060244C" w:rsidRPr="0060244C" w:rsidRDefault="0060244C" w:rsidP="00732DB7">
      <w:pPr>
        <w:pStyle w:val="Zkladntext"/>
        <w:numPr>
          <w:ilvl w:val="0"/>
          <w:numId w:val="20"/>
        </w:numPr>
        <w:jc w:val="both"/>
        <w:rPr>
          <w:sz w:val="20"/>
        </w:rPr>
      </w:pPr>
      <w:r w:rsidRPr="0060244C">
        <w:rPr>
          <w:sz w:val="20"/>
        </w:rPr>
        <w:t xml:space="preserve">Chodník Čsl. </w:t>
      </w:r>
      <w:proofErr w:type="gramStart"/>
      <w:r w:rsidRPr="0060244C">
        <w:rPr>
          <w:sz w:val="20"/>
        </w:rPr>
        <w:t>legií</w:t>
      </w:r>
      <w:proofErr w:type="gramEnd"/>
      <w:r w:rsidRPr="0060244C">
        <w:rPr>
          <w:sz w:val="20"/>
        </w:rPr>
        <w:t xml:space="preserve"> – zvýšení bezpečnosti (27.315 tis. Kč) – projekt ve spolupráci s Libereckým krajem</w:t>
      </w:r>
    </w:p>
    <w:p w:rsidR="00732DB7" w:rsidRDefault="00AC7FB0" w:rsidP="00732DB7">
      <w:pPr>
        <w:pStyle w:val="Zkladntext"/>
        <w:numPr>
          <w:ilvl w:val="0"/>
          <w:numId w:val="20"/>
        </w:numPr>
        <w:jc w:val="both"/>
        <w:rPr>
          <w:sz w:val="20"/>
        </w:rPr>
      </w:pPr>
      <w:r w:rsidRPr="0060244C">
        <w:rPr>
          <w:sz w:val="20"/>
        </w:rPr>
        <w:t>Volnočasov</w:t>
      </w:r>
      <w:r w:rsidR="008E1CBF" w:rsidRPr="0060244C">
        <w:rPr>
          <w:sz w:val="20"/>
        </w:rPr>
        <w:t>ý</w:t>
      </w:r>
      <w:r w:rsidRPr="0060244C">
        <w:rPr>
          <w:sz w:val="20"/>
        </w:rPr>
        <w:t xml:space="preserve"> areál Hraběnka</w:t>
      </w:r>
      <w:r w:rsidR="0060244C" w:rsidRPr="0060244C">
        <w:rPr>
          <w:sz w:val="20"/>
        </w:rPr>
        <w:t>, jeho dokončení</w:t>
      </w:r>
      <w:r w:rsidRPr="0060244C">
        <w:rPr>
          <w:sz w:val="20"/>
        </w:rPr>
        <w:t xml:space="preserve"> </w:t>
      </w:r>
      <w:r w:rsidR="00732DB7" w:rsidRPr="0060244C">
        <w:rPr>
          <w:sz w:val="20"/>
        </w:rPr>
        <w:t>(</w:t>
      </w:r>
      <w:r w:rsidR="0060244C" w:rsidRPr="0060244C">
        <w:rPr>
          <w:sz w:val="20"/>
        </w:rPr>
        <w:t>10.172</w:t>
      </w:r>
      <w:r w:rsidR="00732DB7" w:rsidRPr="0060244C">
        <w:rPr>
          <w:sz w:val="20"/>
        </w:rPr>
        <w:t xml:space="preserve"> tis. Kč)</w:t>
      </w:r>
    </w:p>
    <w:p w:rsidR="0060244C" w:rsidRPr="00F95B3D" w:rsidRDefault="0060244C" w:rsidP="00732DB7">
      <w:pPr>
        <w:pStyle w:val="Zkladntext"/>
        <w:numPr>
          <w:ilvl w:val="0"/>
          <w:numId w:val="20"/>
        </w:numPr>
        <w:jc w:val="both"/>
        <w:rPr>
          <w:sz w:val="20"/>
        </w:rPr>
      </w:pPr>
      <w:r w:rsidRPr="00F95B3D">
        <w:rPr>
          <w:sz w:val="20"/>
        </w:rPr>
        <w:lastRenderedPageBreak/>
        <w:t>Sportovní centrum Jilemnice, s.r.o – splacení základního kapitálu a obnova sportovních zařízení (7.062 tis. Kč)</w:t>
      </w:r>
    </w:p>
    <w:p w:rsidR="0060244C" w:rsidRPr="00F95B3D" w:rsidRDefault="0060244C" w:rsidP="00732DB7">
      <w:pPr>
        <w:pStyle w:val="Zkladntext"/>
        <w:numPr>
          <w:ilvl w:val="0"/>
          <w:numId w:val="20"/>
        </w:numPr>
        <w:jc w:val="both"/>
        <w:rPr>
          <w:sz w:val="20"/>
        </w:rPr>
      </w:pPr>
      <w:r w:rsidRPr="00F95B3D">
        <w:rPr>
          <w:sz w:val="20"/>
        </w:rPr>
        <w:t>Požární ochrana – nákup nové požární cisterny včetně vybavení (7.077 tis. Kč)</w:t>
      </w:r>
    </w:p>
    <w:p w:rsidR="0060244C" w:rsidRPr="00F95B3D" w:rsidRDefault="0060244C" w:rsidP="00732DB7">
      <w:pPr>
        <w:pStyle w:val="Zkladntext"/>
        <w:numPr>
          <w:ilvl w:val="0"/>
          <w:numId w:val="20"/>
        </w:numPr>
        <w:jc w:val="both"/>
        <w:rPr>
          <w:sz w:val="20"/>
        </w:rPr>
      </w:pPr>
      <w:r w:rsidRPr="00F95B3D">
        <w:rPr>
          <w:sz w:val="20"/>
        </w:rPr>
        <w:t xml:space="preserve">Ulice </w:t>
      </w:r>
      <w:proofErr w:type="spellStart"/>
      <w:r w:rsidRPr="00F95B3D">
        <w:rPr>
          <w:sz w:val="20"/>
        </w:rPr>
        <w:t>Metyšova</w:t>
      </w:r>
      <w:proofErr w:type="spellEnd"/>
      <w:r w:rsidRPr="00F95B3D">
        <w:rPr>
          <w:sz w:val="20"/>
        </w:rPr>
        <w:t xml:space="preserve"> – obnova vodohospodářských sítí a povrchu (4.923 tis. Kč)</w:t>
      </w:r>
    </w:p>
    <w:p w:rsidR="008E1CBF" w:rsidRPr="00F95B3D" w:rsidRDefault="008E1CBF" w:rsidP="008E1CBF">
      <w:pPr>
        <w:pStyle w:val="Zkladntext"/>
        <w:numPr>
          <w:ilvl w:val="0"/>
          <w:numId w:val="20"/>
        </w:numPr>
        <w:jc w:val="both"/>
        <w:rPr>
          <w:sz w:val="20"/>
        </w:rPr>
      </w:pPr>
      <w:r w:rsidRPr="00F95B3D">
        <w:rPr>
          <w:sz w:val="20"/>
        </w:rPr>
        <w:t>Rekonstrukce ul. Žižkova (</w:t>
      </w:r>
      <w:r w:rsidR="0060244C" w:rsidRPr="00F95B3D">
        <w:rPr>
          <w:sz w:val="20"/>
        </w:rPr>
        <w:t>2.028</w:t>
      </w:r>
      <w:r w:rsidRPr="00F95B3D">
        <w:rPr>
          <w:sz w:val="20"/>
        </w:rPr>
        <w:t xml:space="preserve"> tis. Kč)</w:t>
      </w:r>
    </w:p>
    <w:p w:rsidR="008E1CBF" w:rsidRPr="00F95B3D" w:rsidRDefault="008E1CBF" w:rsidP="00732DB7">
      <w:pPr>
        <w:pStyle w:val="Zkladntext"/>
        <w:numPr>
          <w:ilvl w:val="0"/>
          <w:numId w:val="20"/>
        </w:numPr>
        <w:jc w:val="both"/>
        <w:rPr>
          <w:sz w:val="20"/>
        </w:rPr>
      </w:pPr>
      <w:r w:rsidRPr="00F95B3D">
        <w:rPr>
          <w:sz w:val="20"/>
        </w:rPr>
        <w:t xml:space="preserve">Parkoviště </w:t>
      </w:r>
      <w:r w:rsidR="0060244C" w:rsidRPr="00F95B3D">
        <w:rPr>
          <w:sz w:val="20"/>
        </w:rPr>
        <w:t>před gymnáziem, Jungman</w:t>
      </w:r>
      <w:r w:rsidR="00F95B3D">
        <w:rPr>
          <w:sz w:val="20"/>
        </w:rPr>
        <w:t>n</w:t>
      </w:r>
      <w:r w:rsidR="0060244C" w:rsidRPr="00F95B3D">
        <w:rPr>
          <w:sz w:val="20"/>
        </w:rPr>
        <w:t>ova, Poštovní</w:t>
      </w:r>
      <w:r w:rsidRPr="00F95B3D">
        <w:rPr>
          <w:sz w:val="20"/>
        </w:rPr>
        <w:t xml:space="preserve"> (</w:t>
      </w:r>
      <w:r w:rsidR="0060244C" w:rsidRPr="00F95B3D">
        <w:rPr>
          <w:sz w:val="20"/>
        </w:rPr>
        <w:t>4.461</w:t>
      </w:r>
      <w:r w:rsidRPr="00F95B3D">
        <w:rPr>
          <w:sz w:val="20"/>
        </w:rPr>
        <w:t xml:space="preserve"> tis. Kč)</w:t>
      </w:r>
    </w:p>
    <w:p w:rsidR="008A090F" w:rsidRPr="00F95B3D" w:rsidRDefault="0060244C" w:rsidP="00732DB7">
      <w:pPr>
        <w:pStyle w:val="Zkladntext"/>
        <w:numPr>
          <w:ilvl w:val="0"/>
          <w:numId w:val="20"/>
        </w:numPr>
        <w:jc w:val="both"/>
        <w:rPr>
          <w:sz w:val="20"/>
        </w:rPr>
      </w:pPr>
      <w:r w:rsidRPr="00F95B3D">
        <w:rPr>
          <w:sz w:val="20"/>
        </w:rPr>
        <w:t xml:space="preserve">Rekonstrukce budovy čp. 85 pro Základní uměleckou </w:t>
      </w:r>
      <w:proofErr w:type="gramStart"/>
      <w:r w:rsidRPr="00F95B3D">
        <w:rPr>
          <w:sz w:val="20"/>
        </w:rPr>
        <w:t xml:space="preserve">školu </w:t>
      </w:r>
      <w:r w:rsidR="008E1CBF" w:rsidRPr="00F95B3D">
        <w:rPr>
          <w:sz w:val="20"/>
        </w:rPr>
        <w:t xml:space="preserve"> </w:t>
      </w:r>
      <w:r w:rsidR="008A090F" w:rsidRPr="00F95B3D">
        <w:rPr>
          <w:sz w:val="20"/>
        </w:rPr>
        <w:t>(</w:t>
      </w:r>
      <w:r w:rsidRPr="00F95B3D">
        <w:rPr>
          <w:sz w:val="20"/>
        </w:rPr>
        <w:t>4.054</w:t>
      </w:r>
      <w:proofErr w:type="gramEnd"/>
      <w:r w:rsidR="008A090F" w:rsidRPr="00F95B3D">
        <w:rPr>
          <w:sz w:val="20"/>
        </w:rPr>
        <w:t xml:space="preserve"> tis. Kč)</w:t>
      </w:r>
    </w:p>
    <w:p w:rsidR="00732DB7" w:rsidRPr="00F95B3D" w:rsidRDefault="00732DB7" w:rsidP="00732DB7">
      <w:pPr>
        <w:pStyle w:val="Zkladntext"/>
        <w:jc w:val="both"/>
        <w:rPr>
          <w:sz w:val="20"/>
        </w:rPr>
      </w:pPr>
    </w:p>
    <w:p w:rsidR="00220A52" w:rsidRPr="00F95B3D" w:rsidRDefault="004E3CAB" w:rsidP="00957F69">
      <w:pPr>
        <w:pStyle w:val="Zkladntext"/>
        <w:outlineLvl w:val="0"/>
        <w:rPr>
          <w:b/>
          <w:szCs w:val="24"/>
        </w:rPr>
      </w:pPr>
      <w:proofErr w:type="gramStart"/>
      <w:r w:rsidRPr="00F95B3D">
        <w:rPr>
          <w:b/>
          <w:szCs w:val="24"/>
        </w:rPr>
        <w:t>Financování :</w:t>
      </w:r>
      <w:proofErr w:type="gramEnd"/>
    </w:p>
    <w:p w:rsidR="004E3CAB" w:rsidRPr="001B6CBA" w:rsidRDefault="004E3CAB" w:rsidP="001B6CBA">
      <w:pPr>
        <w:pStyle w:val="Zkladntext"/>
        <w:ind w:firstLine="360"/>
        <w:jc w:val="both"/>
        <w:rPr>
          <w:szCs w:val="24"/>
        </w:rPr>
      </w:pPr>
      <w:r w:rsidRPr="00F95B3D">
        <w:rPr>
          <w:szCs w:val="24"/>
        </w:rPr>
        <w:t>V roce 201</w:t>
      </w:r>
      <w:r w:rsidR="00F95B3D" w:rsidRPr="00F95B3D">
        <w:rPr>
          <w:szCs w:val="24"/>
        </w:rPr>
        <w:t>8</w:t>
      </w:r>
      <w:r w:rsidRPr="00F95B3D">
        <w:rPr>
          <w:szCs w:val="24"/>
        </w:rPr>
        <w:t xml:space="preserve"> město </w:t>
      </w:r>
      <w:r w:rsidR="00F95B3D" w:rsidRPr="00F95B3D">
        <w:rPr>
          <w:szCs w:val="24"/>
        </w:rPr>
        <w:t xml:space="preserve">uzavřelo smlouvu na předfinancování projektu Chodník Čsl. </w:t>
      </w:r>
      <w:proofErr w:type="gramStart"/>
      <w:r w:rsidR="00F95B3D" w:rsidRPr="00F95B3D">
        <w:rPr>
          <w:szCs w:val="24"/>
        </w:rPr>
        <w:t>legií</w:t>
      </w:r>
      <w:proofErr w:type="gramEnd"/>
      <w:r w:rsidR="00F95B3D" w:rsidRPr="00F95B3D">
        <w:rPr>
          <w:szCs w:val="24"/>
        </w:rPr>
        <w:t xml:space="preserve"> – zvýšení bezpečnosti. Vzhledem k příznivé finanční situaci však tento úvěr nebyl čerpán, ZM schválilo pokrytí výdajů tohoto projektu z vlastních zdrojů. V průběhu r. 2018 začalo město Jilemnice splácet dlouhodobý závazek z projektu EPC (splatnost v r. 2026) </w:t>
      </w:r>
      <w:r w:rsidRPr="00F95B3D">
        <w:rPr>
          <w:szCs w:val="24"/>
        </w:rPr>
        <w:t>Do financování r</w:t>
      </w:r>
      <w:r w:rsidR="001569F6" w:rsidRPr="00F95B3D">
        <w:rPr>
          <w:szCs w:val="24"/>
        </w:rPr>
        <w:t>oku</w:t>
      </w:r>
      <w:r w:rsidRPr="00F95B3D">
        <w:rPr>
          <w:szCs w:val="24"/>
        </w:rPr>
        <w:t xml:space="preserve"> 201</w:t>
      </w:r>
      <w:r w:rsidR="00F95B3D" w:rsidRPr="00F95B3D">
        <w:rPr>
          <w:szCs w:val="24"/>
        </w:rPr>
        <w:t>8</w:t>
      </w:r>
      <w:r w:rsidRPr="00F95B3D">
        <w:rPr>
          <w:szCs w:val="24"/>
        </w:rPr>
        <w:t xml:space="preserve"> byl zapojen </w:t>
      </w:r>
      <w:r w:rsidR="00E82582" w:rsidRPr="00F95B3D">
        <w:rPr>
          <w:szCs w:val="24"/>
        </w:rPr>
        <w:t xml:space="preserve">přebytek hospodaření </w:t>
      </w:r>
      <w:r w:rsidR="00F95B3D" w:rsidRPr="00F95B3D">
        <w:rPr>
          <w:szCs w:val="24"/>
        </w:rPr>
        <w:t>z minulých let ve výši 57.116 tis. Kč</w:t>
      </w:r>
      <w:r w:rsidR="008A090F" w:rsidRPr="00F95B3D">
        <w:rPr>
          <w:szCs w:val="24"/>
        </w:rPr>
        <w:t>.</w:t>
      </w:r>
      <w:r w:rsidR="00F95B3D" w:rsidRPr="00F95B3D">
        <w:rPr>
          <w:szCs w:val="24"/>
        </w:rPr>
        <w:t xml:space="preserve"> </w:t>
      </w:r>
      <w:r w:rsidRPr="00F95B3D">
        <w:rPr>
          <w:szCs w:val="24"/>
        </w:rPr>
        <w:t>Přebytek z rozpočtového hospodaření za rok 201</w:t>
      </w:r>
      <w:r w:rsidR="00F95B3D" w:rsidRPr="00F95B3D">
        <w:rPr>
          <w:szCs w:val="24"/>
        </w:rPr>
        <w:t>8</w:t>
      </w:r>
      <w:r w:rsidRPr="00F95B3D">
        <w:rPr>
          <w:szCs w:val="24"/>
        </w:rPr>
        <w:t xml:space="preserve"> byl vykázán ve výši </w:t>
      </w:r>
      <w:r w:rsidR="00F95B3D" w:rsidRPr="00F95B3D">
        <w:rPr>
          <w:szCs w:val="24"/>
        </w:rPr>
        <w:t>22.539</w:t>
      </w:r>
      <w:r w:rsidR="008A090F" w:rsidRPr="00F95B3D">
        <w:rPr>
          <w:szCs w:val="24"/>
        </w:rPr>
        <w:t xml:space="preserve"> </w:t>
      </w:r>
      <w:r w:rsidR="00E82582" w:rsidRPr="00F95B3D">
        <w:rPr>
          <w:szCs w:val="24"/>
        </w:rPr>
        <w:t>tis.</w:t>
      </w:r>
      <w:r w:rsidRPr="00F95B3D">
        <w:rPr>
          <w:szCs w:val="24"/>
        </w:rPr>
        <w:t xml:space="preserve"> </w:t>
      </w:r>
      <w:r w:rsidR="0098300E" w:rsidRPr="00F95B3D">
        <w:rPr>
          <w:szCs w:val="24"/>
        </w:rPr>
        <w:t>Kč</w:t>
      </w:r>
      <w:r w:rsidRPr="00F95B3D">
        <w:rPr>
          <w:szCs w:val="24"/>
        </w:rPr>
        <w:t xml:space="preserve">, </w:t>
      </w:r>
      <w:r w:rsidR="008A090F" w:rsidRPr="00F95B3D">
        <w:rPr>
          <w:szCs w:val="24"/>
        </w:rPr>
        <w:t>s</w:t>
      </w:r>
      <w:r w:rsidRPr="00F95B3D">
        <w:rPr>
          <w:szCs w:val="24"/>
        </w:rPr>
        <w:t>trukturu přebytku vyjadřuje následující tabulka:</w:t>
      </w:r>
      <w:r w:rsidRPr="00E82582">
        <w:rPr>
          <w:szCs w:val="24"/>
        </w:rPr>
        <w:t xml:space="preserve"> 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90"/>
        <w:gridCol w:w="850"/>
        <w:gridCol w:w="992"/>
        <w:gridCol w:w="851"/>
        <w:gridCol w:w="2268"/>
      </w:tblGrid>
      <w:tr w:rsidR="004E3CAB" w:rsidRPr="00B72C5A" w:rsidTr="00E817A8">
        <w:trPr>
          <w:trHeight w:val="315"/>
        </w:trPr>
        <w:tc>
          <w:tcPr>
            <w:tcW w:w="7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115390" w:rsidRDefault="004E3CAB" w:rsidP="00683748">
            <w:pPr>
              <w:rPr>
                <w:rFonts w:ascii="Arial" w:hAnsi="Arial" w:cs="Arial"/>
                <w:b/>
                <w:bCs/>
              </w:rPr>
            </w:pPr>
            <w:r w:rsidRPr="00115390">
              <w:rPr>
                <w:rFonts w:ascii="Arial" w:hAnsi="Arial" w:cs="Arial"/>
                <w:b/>
                <w:bCs/>
              </w:rPr>
              <w:t xml:space="preserve">Vyhodnocení přebytku hospodaření za rok </w:t>
            </w:r>
            <w:r w:rsidR="00696131">
              <w:rPr>
                <w:rFonts w:ascii="Arial" w:hAnsi="Arial" w:cs="Arial"/>
                <w:b/>
                <w:bCs/>
              </w:rPr>
              <w:t>201</w:t>
            </w:r>
            <w:r w:rsidR="00683748">
              <w:rPr>
                <w:rFonts w:ascii="Arial" w:hAnsi="Arial" w:cs="Arial"/>
                <w:b/>
                <w:bCs/>
              </w:rPr>
              <w:t>8</w:t>
            </w:r>
            <w:r w:rsidR="00FA1760" w:rsidRPr="00115390">
              <w:rPr>
                <w:rFonts w:ascii="Arial" w:hAnsi="Arial" w:cs="Arial"/>
                <w:b/>
                <w:bCs/>
              </w:rPr>
              <w:t xml:space="preserve">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3CAB" w:rsidRPr="00115390" w:rsidRDefault="004E3CAB" w:rsidP="008602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15390">
              <w:rPr>
                <w:rFonts w:ascii="Arial" w:hAnsi="Arial" w:cs="Arial"/>
                <w:b/>
                <w:sz w:val="16"/>
                <w:szCs w:val="16"/>
              </w:rPr>
              <w:t> </w:t>
            </w:r>
          </w:p>
        </w:tc>
      </w:tr>
      <w:tr w:rsidR="00683748" w:rsidTr="00E817A8">
        <w:trPr>
          <w:trHeight w:val="255"/>
        </w:trPr>
        <w:tc>
          <w:tcPr>
            <w:tcW w:w="6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Default="00683748" w:rsidP="006837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rozdíl mezi příjmy a výdaji za rok 2018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Default="00683748" w:rsidP="0068374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-32 961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Default="00683748" w:rsidP="0068374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83748" w:rsidTr="00E817A8">
        <w:trPr>
          <w:trHeight w:val="2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Pr="003B46CE" w:rsidRDefault="00683748" w:rsidP="00683748">
            <w:pPr>
              <w:rPr>
                <w:rFonts w:ascii="Arial" w:hAnsi="Arial" w:cs="Arial"/>
                <w:bCs/>
              </w:rPr>
            </w:pPr>
            <w:r w:rsidRPr="003B46CE">
              <w:rPr>
                <w:rFonts w:ascii="Arial" w:hAnsi="Arial" w:cs="Arial"/>
                <w:bCs/>
              </w:rPr>
              <w:t>dlouhodobé splátky v roce 2018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Default="00683748" w:rsidP="006837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Default="00683748" w:rsidP="0068374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Pr="003B46CE" w:rsidRDefault="00683748" w:rsidP="00683748">
            <w:pPr>
              <w:jc w:val="right"/>
              <w:rPr>
                <w:rFonts w:ascii="Arial" w:hAnsi="Arial" w:cs="Arial"/>
                <w:bCs/>
              </w:rPr>
            </w:pPr>
            <w:r w:rsidRPr="003B46CE">
              <w:rPr>
                <w:rFonts w:ascii="Arial" w:hAnsi="Arial" w:cs="Arial"/>
                <w:bCs/>
              </w:rPr>
              <w:t>-1 616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Pr="00BD7DE7" w:rsidRDefault="00683748" w:rsidP="008602BE">
            <w:pPr>
              <w:rPr>
                <w:rFonts w:ascii="Arial" w:hAnsi="Arial" w:cs="Arial"/>
              </w:rPr>
            </w:pPr>
          </w:p>
        </w:tc>
      </w:tr>
      <w:tr w:rsidR="00683748" w:rsidTr="00E817A8">
        <w:trPr>
          <w:trHeight w:val="255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Default="00683748" w:rsidP="000002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zapojený přebytek z</w:t>
            </w:r>
            <w:r w:rsidR="0000021B">
              <w:rPr>
                <w:rFonts w:ascii="Arial" w:hAnsi="Arial" w:cs="Arial"/>
              </w:rPr>
              <w:t> minulých let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Default="00683748" w:rsidP="0068374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Default="00683748" w:rsidP="0068374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Default="00683748" w:rsidP="0068374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57 116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Pr="00BD7DE7" w:rsidRDefault="00683748" w:rsidP="008602BE">
            <w:pPr>
              <w:rPr>
                <w:rFonts w:ascii="Arial" w:hAnsi="Arial" w:cs="Arial"/>
              </w:rPr>
            </w:pPr>
          </w:p>
        </w:tc>
      </w:tr>
      <w:tr w:rsidR="00683748" w:rsidTr="00E817A8">
        <w:trPr>
          <w:trHeight w:val="255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Default="00683748" w:rsidP="006837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celkový přebytek hospodaření za rok 2018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Default="00683748" w:rsidP="0068374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Default="00683748" w:rsidP="0068374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22 539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Default="00683748" w:rsidP="0068374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83748" w:rsidTr="00E817A8">
        <w:trPr>
          <w:trHeight w:val="270"/>
        </w:trPr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Pr="00FA1760" w:rsidRDefault="00683748" w:rsidP="008602B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údaje </w:t>
            </w:r>
            <w:r w:rsidRPr="00AF3681">
              <w:rPr>
                <w:sz w:val="22"/>
                <w:szCs w:val="22"/>
              </w:rPr>
              <w:t xml:space="preserve"> v tis.</w:t>
            </w:r>
            <w:proofErr w:type="gramEnd"/>
            <w:r w:rsidRPr="00AF3681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Pr="005E54AE" w:rsidRDefault="00683748" w:rsidP="008602B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Pr="005E54AE" w:rsidRDefault="00683748" w:rsidP="008602BE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Pr="005E54AE" w:rsidRDefault="00683748" w:rsidP="008602B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3748" w:rsidRPr="005E54AE" w:rsidRDefault="00683748" w:rsidP="008602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činnosti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vyšší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ušetřené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saldo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příjmy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výdaje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daňové příjmy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3 677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3 677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lesnictví , lom</w:t>
            </w:r>
            <w:proofErr w:type="gramEnd"/>
            <w:r>
              <w:rPr>
                <w:rFonts w:ascii="Arial" w:hAnsi="Arial" w:cs="Arial"/>
              </w:rPr>
              <w:t xml:space="preserve"> revitalizace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650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875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1 525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správní a místní poplatky </w:t>
            </w:r>
            <w:proofErr w:type="spellStart"/>
            <w:r>
              <w:rPr>
                <w:rFonts w:ascii="Arial" w:hAnsi="Arial" w:cs="Arial"/>
              </w:rPr>
              <w:t>poplatky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330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komunální odpad (poplatek, kompenzace)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267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303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Pr="005C1DB9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</w:t>
            </w:r>
            <w:r w:rsidRPr="005C1DB9">
              <w:rPr>
                <w:rFonts w:ascii="Arial" w:hAnsi="Arial" w:cs="Arial"/>
              </w:rPr>
              <w:t>hrada za energetická opatření SC, s.r.o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daň z hazardu, odvod z hracích přístrojů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186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nájemné ostatní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169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Pr="005C1DB9" w:rsidRDefault="002015EA" w:rsidP="008C23B8">
            <w:pPr>
              <w:rPr>
                <w:rFonts w:ascii="Arial" w:hAnsi="Arial" w:cs="Arial"/>
              </w:rPr>
            </w:pPr>
            <w:r w:rsidRPr="005C1DB9">
              <w:rPr>
                <w:rFonts w:ascii="Arial" w:hAnsi="Arial" w:cs="Arial"/>
              </w:rPr>
              <w:t xml:space="preserve">příjem ze zrušené ZŠ </w:t>
            </w:r>
            <w:proofErr w:type="spellStart"/>
            <w:proofErr w:type="gramStart"/>
            <w:r w:rsidRPr="005C1DB9">
              <w:rPr>
                <w:rFonts w:ascii="Arial" w:hAnsi="Arial" w:cs="Arial"/>
              </w:rPr>
              <w:t>spec</w:t>
            </w:r>
            <w:proofErr w:type="spellEnd"/>
            <w:r w:rsidRPr="005C1DB9">
              <w:rPr>
                <w:rFonts w:ascii="Arial" w:hAnsi="Arial" w:cs="Arial"/>
              </w:rPr>
              <w:t>. a MŠ</w:t>
            </w:r>
            <w:proofErr w:type="gramEnd"/>
            <w:r w:rsidRPr="005C1DB9">
              <w:rPr>
                <w:rFonts w:ascii="Arial" w:hAnsi="Arial" w:cs="Arial"/>
              </w:rPr>
              <w:t xml:space="preserve"> </w:t>
            </w:r>
            <w:proofErr w:type="spellStart"/>
            <w:r w:rsidRPr="005C1DB9">
              <w:rPr>
                <w:rFonts w:ascii="Arial" w:hAnsi="Arial" w:cs="Arial"/>
              </w:rPr>
              <w:t>spec</w:t>
            </w:r>
            <w:proofErr w:type="spellEnd"/>
            <w:r w:rsidRPr="005C1DB9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146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areál služeb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odvody příspěvkových organizací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-118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činnost místní správy, </w:t>
            </w:r>
            <w:proofErr w:type="spellStart"/>
            <w:r>
              <w:rPr>
                <w:rFonts w:ascii="Arial" w:hAnsi="Arial" w:cs="Arial"/>
              </w:rPr>
              <w:t>veřejnospr</w:t>
            </w:r>
            <w:proofErr w:type="spellEnd"/>
            <w:r>
              <w:rPr>
                <w:rFonts w:ascii="Arial" w:hAnsi="Arial" w:cs="Arial"/>
              </w:rPr>
              <w:t>. smlouvy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99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2 593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2 692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pečovatelská služba, soc. péče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796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sankční platby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-660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-660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bytové hospodářství - nájem, služby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-735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586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-149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prodej majetku, bytů, pozemků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-5 357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-5 357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vliv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čp.21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pozemků Nouzov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Pr="005C1DB9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</w:t>
            </w:r>
            <w:r w:rsidRPr="005C1DB9">
              <w:rPr>
                <w:rFonts w:ascii="Arial" w:hAnsi="Arial" w:cs="Arial"/>
              </w:rPr>
              <w:t>odník Čsl. Legií - zvýšení bezpečnosti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2 993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2 993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částečný přesun do r. 2019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doprava (údržba, stavby a projekce)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2 810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2 810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částečný přesun do r. 2019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Pr="005C1DB9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C1DB9">
              <w:rPr>
                <w:rFonts w:ascii="Arial" w:hAnsi="Arial" w:cs="Arial"/>
              </w:rPr>
              <w:t>říprava území k bytové výstavbě - Nouzov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1 757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1 757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přesun do r. 2019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projekty  OPLZZ správy (MA21 a Podpora soc. práce)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1 478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1 478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částečný přesun do r. 2019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opravy čp. 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1 423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1 423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přesun do r. 2019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ZŠ </w:t>
            </w:r>
            <w:proofErr w:type="spellStart"/>
            <w:r>
              <w:rPr>
                <w:rFonts w:ascii="Arial" w:hAnsi="Arial" w:cs="Arial"/>
              </w:rPr>
              <w:t>Harracha</w:t>
            </w:r>
            <w:proofErr w:type="spellEnd"/>
            <w:r>
              <w:rPr>
                <w:rFonts w:ascii="Arial" w:hAnsi="Arial" w:cs="Arial"/>
              </w:rPr>
              <w:t xml:space="preserve"> - </w:t>
            </w:r>
            <w:r w:rsidRPr="003B46CE">
              <w:rPr>
                <w:rFonts w:ascii="Arial" w:hAnsi="Arial" w:cs="Arial"/>
                <w:sz w:val="16"/>
                <w:szCs w:val="16"/>
              </w:rPr>
              <w:t>účelový příspěvek na horolezeckou stěnu a IROP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1 200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1 200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přesun do r. 2019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rekonstrukce čp. 259 -prostory pro knihovnu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1 050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1 050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přesun do r. 2019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školní stravování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857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857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zámecký park - podium, cesty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833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komunální služby</w:t>
            </w:r>
            <w:r w:rsidRPr="003B46CE">
              <w:rPr>
                <w:rFonts w:ascii="Arial" w:hAnsi="Arial" w:cs="Arial"/>
                <w:sz w:val="16"/>
                <w:szCs w:val="16"/>
              </w:rPr>
              <w:t xml:space="preserve">, veř. </w:t>
            </w:r>
            <w:proofErr w:type="gramStart"/>
            <w:r w:rsidRPr="003B46CE">
              <w:rPr>
                <w:rFonts w:ascii="Arial" w:hAnsi="Arial" w:cs="Arial"/>
                <w:sz w:val="16"/>
                <w:szCs w:val="16"/>
              </w:rPr>
              <w:t>osvětlení</w:t>
            </w:r>
            <w:proofErr w:type="gramEnd"/>
            <w:r w:rsidRPr="003B46CE">
              <w:rPr>
                <w:rFonts w:ascii="Arial" w:hAnsi="Arial" w:cs="Arial"/>
                <w:sz w:val="16"/>
                <w:szCs w:val="16"/>
              </w:rPr>
              <w:t>, pohřebnictví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666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666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finanční operace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612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památková péče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580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veřejná zeleň, projekty ŽP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422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výkup pozemků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402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projektové práce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363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částečný přesun do r. 2019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výdaje za prodej majetku, projekt EPC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341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krizové řízení, požární ochrana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340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územní plán, územní rozvoj, </w:t>
            </w:r>
            <w:proofErr w:type="spellStart"/>
            <w:r>
              <w:rPr>
                <w:rFonts w:ascii="Arial" w:hAnsi="Arial" w:cs="Arial"/>
              </w:rPr>
              <w:t>inf</w:t>
            </w:r>
            <w:proofErr w:type="spellEnd"/>
            <w:r>
              <w:rPr>
                <w:rFonts w:ascii="Arial" w:hAnsi="Arial" w:cs="Arial"/>
              </w:rPr>
              <w:t>. systém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131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141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2015EA" w:rsidTr="00E817A8">
        <w:trPr>
          <w:trHeight w:val="255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-657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23 196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22 539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 w:rsidP="008C2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220A52" w:rsidRDefault="00220A52" w:rsidP="004E3CAB">
      <w:pPr>
        <w:pStyle w:val="Zkladntext"/>
        <w:jc w:val="both"/>
        <w:rPr>
          <w:szCs w:val="24"/>
          <w:lang w:val="en-US"/>
        </w:rPr>
      </w:pPr>
    </w:p>
    <w:p w:rsidR="00E817A8" w:rsidRPr="004949FF" w:rsidRDefault="00CA0874" w:rsidP="00E817A8">
      <w:pPr>
        <w:rPr>
          <w:b/>
          <w:sz w:val="24"/>
        </w:rPr>
      </w:pPr>
      <w:r w:rsidRPr="004949FF">
        <w:rPr>
          <w:b/>
          <w:sz w:val="24"/>
        </w:rPr>
        <w:t xml:space="preserve">2) </w:t>
      </w:r>
      <w:r w:rsidR="00E817A8" w:rsidRPr="004949FF">
        <w:rPr>
          <w:b/>
          <w:sz w:val="24"/>
        </w:rPr>
        <w:t>Údaje o ho</w:t>
      </w:r>
      <w:r w:rsidR="004949FF" w:rsidRPr="004949FF">
        <w:rPr>
          <w:b/>
          <w:sz w:val="24"/>
        </w:rPr>
        <w:t>spodaření s majetkem za rok 2018</w:t>
      </w: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559"/>
        <w:gridCol w:w="1843"/>
      </w:tblGrid>
      <w:tr w:rsidR="004949FF" w:rsidRPr="004949FF" w:rsidTr="00522E21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FF" w:rsidRPr="004949FF" w:rsidRDefault="004949FF" w:rsidP="00522E2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949FF">
              <w:rPr>
                <w:rFonts w:ascii="Arial" w:hAnsi="Arial" w:cs="Arial"/>
                <w:b/>
                <w:bCs/>
                <w:color w:val="000000"/>
              </w:rPr>
              <w:t xml:space="preserve">Vybrané údaje z </w:t>
            </w:r>
            <w:proofErr w:type="gramStart"/>
            <w:r w:rsidRPr="004949FF">
              <w:rPr>
                <w:rFonts w:ascii="Arial" w:hAnsi="Arial" w:cs="Arial"/>
                <w:b/>
                <w:bCs/>
                <w:color w:val="000000"/>
              </w:rPr>
              <w:t>rozvahy:  (tis.</w:t>
            </w:r>
            <w:proofErr w:type="gramEnd"/>
            <w:r w:rsidRPr="004949FF">
              <w:rPr>
                <w:rFonts w:ascii="Arial" w:hAnsi="Arial" w:cs="Arial"/>
                <w:b/>
                <w:bCs/>
                <w:color w:val="000000"/>
              </w:rPr>
              <w:t xml:space="preserve"> Kč) brutto stav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FF" w:rsidRPr="004949FF" w:rsidRDefault="004949FF" w:rsidP="008D76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49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 k 1. 1. 2018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949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Stav k 31. 12. 2018</w:t>
            </w:r>
          </w:p>
        </w:tc>
      </w:tr>
      <w:tr w:rsidR="004949FF" w:rsidRPr="004949FF" w:rsidTr="00522E2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FF" w:rsidRPr="004949FF" w:rsidRDefault="004949FF" w:rsidP="00522E21">
            <w:pPr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Dlouhodobý nehmotný majetek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7 224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7224</w:t>
            </w:r>
          </w:p>
        </w:tc>
      </w:tr>
      <w:tr w:rsidR="004949FF" w:rsidRPr="004949FF" w:rsidTr="00522E2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FF" w:rsidRPr="004949FF" w:rsidRDefault="004949FF" w:rsidP="00522E21">
            <w:pPr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Pozemky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88 405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90 515</w:t>
            </w:r>
          </w:p>
        </w:tc>
      </w:tr>
      <w:tr w:rsidR="004949FF" w:rsidRPr="004949FF" w:rsidTr="00522E2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FF" w:rsidRPr="004949FF" w:rsidRDefault="004949FF" w:rsidP="00522E21">
            <w:pPr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Kulturní předměty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488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771</w:t>
            </w:r>
          </w:p>
        </w:tc>
      </w:tr>
      <w:tr w:rsidR="004949FF" w:rsidRPr="004949FF" w:rsidTr="00522E2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FF" w:rsidRPr="004949FF" w:rsidRDefault="004949FF" w:rsidP="00522E21">
            <w:pPr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Stavby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522 800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533 694</w:t>
            </w:r>
          </w:p>
        </w:tc>
      </w:tr>
      <w:tr w:rsidR="004949FF" w:rsidRPr="004949FF" w:rsidTr="00522E2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FF" w:rsidRPr="004949FF" w:rsidRDefault="004949FF" w:rsidP="00522E21">
            <w:pPr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Samostatné movité věci a soubory movitých věcí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42 505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56 415</w:t>
            </w:r>
          </w:p>
        </w:tc>
      </w:tr>
      <w:tr w:rsidR="004949FF" w:rsidRPr="004949FF" w:rsidTr="00522E21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FF" w:rsidRPr="004949FF" w:rsidRDefault="004949FF" w:rsidP="00522E21">
            <w:pPr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Nedokončený dlouhodobý hmotný majetek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82 865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55 808</w:t>
            </w:r>
          </w:p>
        </w:tc>
      </w:tr>
      <w:tr w:rsidR="004949FF" w:rsidRPr="004949FF" w:rsidTr="00522E21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9FF" w:rsidRPr="004949FF" w:rsidRDefault="004949FF" w:rsidP="00522E21">
            <w:pPr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Majetkové účasti (Zásobování teplem s. r. o)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8 600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8 600</w:t>
            </w:r>
          </w:p>
        </w:tc>
      </w:tr>
      <w:tr w:rsidR="004949FF" w:rsidRPr="004949FF" w:rsidTr="00522E21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522E21">
            <w:pPr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Majetkové účasti (MMN a.s.)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435 570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435 570</w:t>
            </w:r>
          </w:p>
        </w:tc>
      </w:tr>
      <w:tr w:rsidR="004949FF" w:rsidRPr="004949FF" w:rsidTr="00522E21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522E21">
            <w:pPr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Majetkové účasti (SC Jilemnice s.r.o.)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45 188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FF" w:rsidRPr="004949FF" w:rsidRDefault="004949FF" w:rsidP="008D76E0">
            <w:pPr>
              <w:jc w:val="right"/>
              <w:rPr>
                <w:rFonts w:ascii="Arial" w:hAnsi="Arial" w:cs="Arial"/>
                <w:color w:val="000000"/>
              </w:rPr>
            </w:pPr>
            <w:r w:rsidRPr="004949FF">
              <w:rPr>
                <w:rFonts w:ascii="Arial" w:hAnsi="Arial" w:cs="Arial"/>
                <w:color w:val="000000"/>
              </w:rPr>
              <w:t>97 913</w:t>
            </w:r>
          </w:p>
        </w:tc>
      </w:tr>
    </w:tbl>
    <w:p w:rsidR="00B929EA" w:rsidRPr="004949FF" w:rsidRDefault="00B929EA" w:rsidP="00E817A8">
      <w:pPr>
        <w:rPr>
          <w:sz w:val="22"/>
          <w:szCs w:val="22"/>
        </w:rPr>
      </w:pPr>
    </w:p>
    <w:p w:rsidR="00E817A8" w:rsidRPr="004949FF" w:rsidRDefault="00E817A8" w:rsidP="00E817A8">
      <w:pPr>
        <w:pStyle w:val="Nadpis3"/>
        <w:jc w:val="both"/>
        <w:rPr>
          <w:rFonts w:ascii="Times New Roman" w:hAnsi="Times New Roman"/>
          <w:b w:val="0"/>
          <w:bCs/>
          <w:color w:val="auto"/>
          <w:sz w:val="22"/>
          <w:szCs w:val="22"/>
        </w:rPr>
      </w:pPr>
      <w:proofErr w:type="gramStart"/>
      <w:r w:rsidRPr="004949FF">
        <w:rPr>
          <w:rFonts w:ascii="Times New Roman" w:hAnsi="Times New Roman"/>
          <w:color w:val="auto"/>
          <w:sz w:val="22"/>
          <w:szCs w:val="22"/>
        </w:rPr>
        <w:t>a)  Majetek</w:t>
      </w:r>
      <w:proofErr w:type="gramEnd"/>
      <w:r w:rsidRPr="004949FF">
        <w:rPr>
          <w:rFonts w:ascii="Times New Roman" w:hAnsi="Times New Roman"/>
          <w:color w:val="auto"/>
          <w:sz w:val="22"/>
          <w:szCs w:val="22"/>
        </w:rPr>
        <w:t xml:space="preserve">  zatížený zástavním a jiným věcným právem</w:t>
      </w:r>
      <w:r w:rsidRPr="004949FF">
        <w:rPr>
          <w:rFonts w:ascii="Times New Roman" w:hAnsi="Times New Roman"/>
          <w:b w:val="0"/>
          <w:color w:val="auto"/>
          <w:sz w:val="22"/>
          <w:szCs w:val="22"/>
        </w:rPr>
        <w:t xml:space="preserve">:  </w:t>
      </w:r>
      <w:proofErr w:type="gramStart"/>
      <w:r w:rsidRPr="004949FF">
        <w:rPr>
          <w:rFonts w:ascii="Times New Roman" w:hAnsi="Times New Roman"/>
          <w:b w:val="0"/>
          <w:color w:val="auto"/>
          <w:sz w:val="22"/>
          <w:szCs w:val="22"/>
        </w:rPr>
        <w:t xml:space="preserve">91.098  </w:t>
      </w:r>
      <w:r w:rsidRPr="004949FF">
        <w:rPr>
          <w:rFonts w:ascii="Times New Roman" w:hAnsi="Times New Roman"/>
          <w:b w:val="0"/>
          <w:bCs/>
          <w:color w:val="auto"/>
          <w:sz w:val="22"/>
          <w:szCs w:val="22"/>
        </w:rPr>
        <w:t>tis.</w:t>
      </w:r>
      <w:proofErr w:type="gramEnd"/>
      <w:r w:rsidRPr="004949FF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Kč, výše zástavy 26.640 tis. Kč</w:t>
      </w:r>
    </w:p>
    <w:p w:rsidR="00E817A8" w:rsidRPr="004949FF" w:rsidRDefault="00E817A8" w:rsidP="00E817A8">
      <w:pPr>
        <w:pStyle w:val="Nadpis3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proofErr w:type="gramStart"/>
      <w:r w:rsidRPr="004949FF">
        <w:rPr>
          <w:rFonts w:ascii="Times New Roman" w:hAnsi="Times New Roman"/>
          <w:color w:val="auto"/>
          <w:sz w:val="22"/>
          <w:szCs w:val="22"/>
        </w:rPr>
        <w:t>b)  Majetek</w:t>
      </w:r>
      <w:proofErr w:type="gramEnd"/>
      <w:r w:rsidRPr="004949FF">
        <w:rPr>
          <w:rFonts w:ascii="Times New Roman" w:hAnsi="Times New Roman"/>
          <w:color w:val="auto"/>
          <w:sz w:val="22"/>
          <w:szCs w:val="22"/>
        </w:rPr>
        <w:t xml:space="preserve"> předaný do správy k hospodaření příspěvkovým organizacím:</w:t>
      </w:r>
      <w:r w:rsidRPr="004949FF">
        <w:rPr>
          <w:rFonts w:ascii="Times New Roman" w:hAnsi="Times New Roman"/>
          <w:b w:val="0"/>
          <w:color w:val="auto"/>
          <w:sz w:val="22"/>
          <w:szCs w:val="22"/>
        </w:rPr>
        <w:t xml:space="preserve"> hodnota </w:t>
      </w:r>
      <w:r w:rsidR="004949FF" w:rsidRPr="004949FF">
        <w:rPr>
          <w:rFonts w:ascii="Times New Roman" w:hAnsi="Times New Roman"/>
          <w:b w:val="0"/>
          <w:color w:val="auto"/>
          <w:sz w:val="22"/>
          <w:szCs w:val="22"/>
        </w:rPr>
        <w:t xml:space="preserve"> 145.544 tis. Kč</w:t>
      </w:r>
    </w:p>
    <w:p w:rsidR="00E817A8" w:rsidRPr="004949FF" w:rsidRDefault="00E817A8" w:rsidP="00E817A8">
      <w:pPr>
        <w:rPr>
          <w:sz w:val="22"/>
          <w:szCs w:val="22"/>
        </w:rPr>
      </w:pPr>
      <w:proofErr w:type="gramStart"/>
      <w:r w:rsidRPr="004949FF">
        <w:rPr>
          <w:b/>
          <w:sz w:val="22"/>
          <w:szCs w:val="22"/>
        </w:rPr>
        <w:t>c)  Přijaté</w:t>
      </w:r>
      <w:proofErr w:type="gramEnd"/>
      <w:r w:rsidRPr="004949FF">
        <w:rPr>
          <w:b/>
          <w:sz w:val="22"/>
          <w:szCs w:val="22"/>
        </w:rPr>
        <w:t xml:space="preserve"> ručitelské závazky:</w:t>
      </w:r>
      <w:r w:rsidRPr="004949FF">
        <w:rPr>
          <w:sz w:val="22"/>
          <w:szCs w:val="22"/>
        </w:rPr>
        <w:t xml:space="preserve">  ručení pro VHS Turnov 24.992 tis. Kč.</w:t>
      </w:r>
    </w:p>
    <w:p w:rsidR="0067056D" w:rsidRPr="004949FF" w:rsidRDefault="0067056D" w:rsidP="0067056D">
      <w:pPr>
        <w:pStyle w:val="Normln2"/>
        <w:widowControl/>
        <w:spacing w:before="120"/>
        <w:rPr>
          <w:b/>
          <w:sz w:val="22"/>
          <w:szCs w:val="22"/>
        </w:rPr>
      </w:pPr>
      <w:r w:rsidRPr="004949FF">
        <w:rPr>
          <w:b/>
          <w:sz w:val="22"/>
          <w:szCs w:val="22"/>
        </w:rPr>
        <w:t xml:space="preserve">d) Přírůstky a úbytky dlouhodobého majetku: v tis. Kč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4"/>
        <w:gridCol w:w="3334"/>
        <w:gridCol w:w="2758"/>
      </w:tblGrid>
      <w:tr w:rsidR="0067056D" w:rsidRPr="004949FF" w:rsidTr="00522E21">
        <w:tc>
          <w:tcPr>
            <w:tcW w:w="3334" w:type="dxa"/>
          </w:tcPr>
          <w:p w:rsidR="0067056D" w:rsidRPr="004949FF" w:rsidRDefault="0067056D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334" w:type="dxa"/>
          </w:tcPr>
          <w:p w:rsidR="0067056D" w:rsidRPr="004949FF" w:rsidRDefault="0067056D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949FF">
              <w:rPr>
                <w:rFonts w:ascii="Arial" w:hAnsi="Arial" w:cs="Arial"/>
                <w:bCs/>
                <w:sz w:val="20"/>
              </w:rPr>
              <w:t>Přírůstky v tis.  Kč</w:t>
            </w:r>
          </w:p>
        </w:tc>
        <w:tc>
          <w:tcPr>
            <w:tcW w:w="2758" w:type="dxa"/>
          </w:tcPr>
          <w:p w:rsidR="0067056D" w:rsidRPr="004949FF" w:rsidRDefault="0067056D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949FF">
              <w:rPr>
                <w:rFonts w:ascii="Arial" w:hAnsi="Arial" w:cs="Arial"/>
                <w:bCs/>
                <w:sz w:val="20"/>
              </w:rPr>
              <w:t>Úbytky v tis.  Kč</w:t>
            </w:r>
          </w:p>
        </w:tc>
      </w:tr>
      <w:tr w:rsidR="004949FF" w:rsidRPr="004949FF" w:rsidTr="00522E21">
        <w:tc>
          <w:tcPr>
            <w:tcW w:w="3334" w:type="dxa"/>
          </w:tcPr>
          <w:p w:rsidR="004949FF" w:rsidRPr="004949FF" w:rsidRDefault="004949FF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4949FF">
              <w:rPr>
                <w:rFonts w:ascii="Arial" w:hAnsi="Arial" w:cs="Arial"/>
                <w:bCs/>
                <w:sz w:val="20"/>
              </w:rPr>
              <w:t>Nehmotný</w:t>
            </w:r>
          </w:p>
        </w:tc>
        <w:tc>
          <w:tcPr>
            <w:tcW w:w="3334" w:type="dxa"/>
          </w:tcPr>
          <w:p w:rsidR="004949FF" w:rsidRPr="004949FF" w:rsidRDefault="004949FF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949FF"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2758" w:type="dxa"/>
          </w:tcPr>
          <w:p w:rsidR="004949FF" w:rsidRPr="004949FF" w:rsidRDefault="004949FF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949FF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4949FF" w:rsidRPr="004949FF" w:rsidTr="00522E21">
        <w:tc>
          <w:tcPr>
            <w:tcW w:w="3334" w:type="dxa"/>
          </w:tcPr>
          <w:p w:rsidR="004949FF" w:rsidRPr="004949FF" w:rsidRDefault="004949FF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4949FF">
              <w:rPr>
                <w:rFonts w:ascii="Arial" w:hAnsi="Arial" w:cs="Arial"/>
                <w:bCs/>
                <w:sz w:val="20"/>
              </w:rPr>
              <w:t>Pozemky</w:t>
            </w:r>
          </w:p>
        </w:tc>
        <w:tc>
          <w:tcPr>
            <w:tcW w:w="3334" w:type="dxa"/>
          </w:tcPr>
          <w:p w:rsidR="004949FF" w:rsidRPr="004949FF" w:rsidRDefault="004949FF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949FF">
              <w:rPr>
                <w:rFonts w:ascii="Arial" w:hAnsi="Arial" w:cs="Arial"/>
                <w:bCs/>
                <w:sz w:val="20"/>
              </w:rPr>
              <w:t>5 551</w:t>
            </w:r>
          </w:p>
        </w:tc>
        <w:tc>
          <w:tcPr>
            <w:tcW w:w="2758" w:type="dxa"/>
          </w:tcPr>
          <w:p w:rsidR="004949FF" w:rsidRPr="004949FF" w:rsidRDefault="004949FF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949FF">
              <w:rPr>
                <w:rFonts w:ascii="Arial" w:hAnsi="Arial" w:cs="Arial"/>
                <w:bCs/>
                <w:sz w:val="20"/>
              </w:rPr>
              <w:t>3 441</w:t>
            </w:r>
          </w:p>
        </w:tc>
      </w:tr>
      <w:tr w:rsidR="004949FF" w:rsidRPr="004949FF" w:rsidTr="00522E21">
        <w:trPr>
          <w:trHeight w:val="404"/>
        </w:trPr>
        <w:tc>
          <w:tcPr>
            <w:tcW w:w="3334" w:type="dxa"/>
          </w:tcPr>
          <w:p w:rsidR="004949FF" w:rsidRPr="004949FF" w:rsidRDefault="004949FF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4949FF">
              <w:rPr>
                <w:rFonts w:ascii="Arial" w:hAnsi="Arial" w:cs="Arial"/>
                <w:bCs/>
                <w:sz w:val="20"/>
              </w:rPr>
              <w:t>Stavby</w:t>
            </w:r>
          </w:p>
        </w:tc>
        <w:tc>
          <w:tcPr>
            <w:tcW w:w="3334" w:type="dxa"/>
          </w:tcPr>
          <w:p w:rsidR="004949FF" w:rsidRPr="004949FF" w:rsidRDefault="004949FF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949FF">
              <w:rPr>
                <w:rFonts w:ascii="Arial" w:hAnsi="Arial" w:cs="Arial"/>
                <w:bCs/>
                <w:sz w:val="20"/>
              </w:rPr>
              <w:t>85 749</w:t>
            </w:r>
          </w:p>
        </w:tc>
        <w:tc>
          <w:tcPr>
            <w:tcW w:w="2758" w:type="dxa"/>
          </w:tcPr>
          <w:p w:rsidR="004949FF" w:rsidRPr="004949FF" w:rsidRDefault="004949FF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949FF">
              <w:rPr>
                <w:rFonts w:ascii="Arial" w:hAnsi="Arial" w:cs="Arial"/>
                <w:bCs/>
                <w:sz w:val="20"/>
              </w:rPr>
              <w:t>74 856</w:t>
            </w:r>
          </w:p>
        </w:tc>
      </w:tr>
      <w:tr w:rsidR="004949FF" w:rsidRPr="002015EA" w:rsidTr="00522E21">
        <w:tc>
          <w:tcPr>
            <w:tcW w:w="3334" w:type="dxa"/>
          </w:tcPr>
          <w:p w:rsidR="004949FF" w:rsidRPr="004949FF" w:rsidRDefault="004949FF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4949FF">
              <w:rPr>
                <w:rFonts w:ascii="Arial" w:hAnsi="Arial" w:cs="Arial"/>
                <w:bCs/>
                <w:sz w:val="20"/>
              </w:rPr>
              <w:t xml:space="preserve">Samostatné věci a soubory samostatných movitých věcí </w:t>
            </w:r>
          </w:p>
        </w:tc>
        <w:tc>
          <w:tcPr>
            <w:tcW w:w="3334" w:type="dxa"/>
          </w:tcPr>
          <w:p w:rsidR="004949FF" w:rsidRPr="004949FF" w:rsidRDefault="004949FF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949FF">
              <w:rPr>
                <w:rFonts w:ascii="Arial" w:hAnsi="Arial" w:cs="Arial"/>
                <w:bCs/>
                <w:sz w:val="20"/>
              </w:rPr>
              <w:t>22 483</w:t>
            </w:r>
          </w:p>
        </w:tc>
        <w:tc>
          <w:tcPr>
            <w:tcW w:w="2758" w:type="dxa"/>
          </w:tcPr>
          <w:p w:rsidR="004949FF" w:rsidRPr="0067056D" w:rsidRDefault="004949FF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949FF">
              <w:rPr>
                <w:rFonts w:ascii="Arial" w:hAnsi="Arial" w:cs="Arial"/>
                <w:bCs/>
                <w:sz w:val="20"/>
              </w:rPr>
              <w:t>8 573</w:t>
            </w:r>
          </w:p>
        </w:tc>
      </w:tr>
    </w:tbl>
    <w:p w:rsidR="00B82EDF" w:rsidRPr="008D76E0" w:rsidRDefault="00B82EDF" w:rsidP="00B82EDF">
      <w:pPr>
        <w:pStyle w:val="Normln3"/>
        <w:widowControl/>
        <w:spacing w:before="120"/>
        <w:rPr>
          <w:sz w:val="22"/>
          <w:szCs w:val="22"/>
        </w:rPr>
      </w:pPr>
      <w:r w:rsidRPr="008D76E0">
        <w:rPr>
          <w:b/>
          <w:sz w:val="22"/>
          <w:szCs w:val="22"/>
        </w:rPr>
        <w:t>e) Pořízení dlouhodobého majetku v tis. Kč u vybraných skupin</w:t>
      </w:r>
    </w:p>
    <w:tbl>
      <w:tblPr>
        <w:tblpPr w:leftFromText="141" w:rightFromText="141" w:vertAnchor="text" w:tblpY="1"/>
        <w:tblOverlap w:val="never"/>
        <w:tblW w:w="943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28"/>
        <w:gridCol w:w="1511"/>
        <w:gridCol w:w="1218"/>
        <w:gridCol w:w="2889"/>
        <w:gridCol w:w="1287"/>
      </w:tblGrid>
      <w:tr w:rsidR="00B82EDF" w:rsidRPr="008D76E0" w:rsidTr="008D76E0">
        <w:trPr>
          <w:trHeight w:val="3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8D76E0" w:rsidRDefault="00B82EDF" w:rsidP="00522E21">
            <w:pPr>
              <w:pStyle w:val="Normln2"/>
              <w:widowControl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8D76E0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 xml:space="preserve">Investiční výstavbou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8D76E0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 xml:space="preserve">Koupí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8D76E0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Bezúplatným převodem, darem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DF" w:rsidRPr="008D76E0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 xml:space="preserve">Jinou formou </w:t>
            </w:r>
          </w:p>
        </w:tc>
      </w:tr>
      <w:tr w:rsidR="008D76E0" w:rsidRPr="008D76E0" w:rsidTr="008D76E0">
        <w:trPr>
          <w:trHeight w:val="2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Nehmotný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 xml:space="preserve">                       0           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0</w:t>
            </w:r>
          </w:p>
        </w:tc>
      </w:tr>
      <w:tr w:rsidR="008D76E0" w:rsidRPr="008D76E0" w:rsidTr="008D76E0">
        <w:trPr>
          <w:trHeight w:val="2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Pozemky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 xml:space="preserve">             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2 808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2 735</w:t>
            </w:r>
          </w:p>
        </w:tc>
      </w:tr>
      <w:tr w:rsidR="008D76E0" w:rsidRPr="008D76E0" w:rsidTr="008D76E0">
        <w:trPr>
          <w:trHeight w:val="2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Stavby, budovy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78 438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7 311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0</w:t>
            </w:r>
          </w:p>
        </w:tc>
      </w:tr>
      <w:tr w:rsidR="008D76E0" w:rsidRPr="002015EA" w:rsidTr="008D76E0">
        <w:trPr>
          <w:trHeight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 xml:space="preserve">Samostatné věci a soubory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22  162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6E0" w:rsidRPr="00430EC3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sz w:val="20"/>
              </w:rPr>
            </w:pPr>
            <w:r w:rsidRPr="008D76E0">
              <w:rPr>
                <w:rFonts w:ascii="Arial" w:hAnsi="Arial" w:cs="Arial"/>
                <w:sz w:val="20"/>
              </w:rPr>
              <w:t>0</w:t>
            </w:r>
          </w:p>
        </w:tc>
      </w:tr>
    </w:tbl>
    <w:p w:rsidR="008D76E0" w:rsidRDefault="008D76E0" w:rsidP="008D76E0">
      <w:pPr>
        <w:pStyle w:val="Normln2"/>
        <w:widowControl/>
        <w:spacing w:before="120" w:line="240" w:lineRule="atLeast"/>
        <w:jc w:val="both"/>
        <w:rPr>
          <w:sz w:val="22"/>
          <w:szCs w:val="22"/>
        </w:rPr>
      </w:pPr>
      <w:r w:rsidRPr="00430EC3">
        <w:rPr>
          <w:sz w:val="22"/>
          <w:szCs w:val="22"/>
        </w:rPr>
        <w:t>U pořízení pozemků koupí se jedná</w:t>
      </w:r>
      <w:r>
        <w:rPr>
          <w:sz w:val="22"/>
          <w:szCs w:val="22"/>
        </w:rPr>
        <w:t xml:space="preserve"> </w:t>
      </w:r>
      <w:r w:rsidRPr="00430EC3">
        <w:rPr>
          <w:sz w:val="22"/>
          <w:szCs w:val="22"/>
        </w:rPr>
        <w:t xml:space="preserve">o odkup pozemků </w:t>
      </w:r>
      <w:r>
        <w:rPr>
          <w:sz w:val="22"/>
          <w:szCs w:val="22"/>
        </w:rPr>
        <w:t>od p. Devátého v Roztokách u Jilemnice (cyklostezka).</w:t>
      </w:r>
    </w:p>
    <w:p w:rsidR="008D76E0" w:rsidRDefault="008D76E0" w:rsidP="008D76E0">
      <w:pPr>
        <w:pStyle w:val="Normln2"/>
        <w:widowControl/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U pořízení b</w:t>
      </w:r>
      <w:r w:rsidRPr="00430EC3">
        <w:rPr>
          <w:sz w:val="22"/>
          <w:szCs w:val="22"/>
        </w:rPr>
        <w:t>ezúplatný</w:t>
      </w:r>
      <w:r>
        <w:rPr>
          <w:sz w:val="22"/>
          <w:szCs w:val="22"/>
        </w:rPr>
        <w:t>m</w:t>
      </w:r>
      <w:r w:rsidRPr="00430EC3">
        <w:rPr>
          <w:sz w:val="22"/>
          <w:szCs w:val="22"/>
        </w:rPr>
        <w:t xml:space="preserve"> převod</w:t>
      </w:r>
      <w:r>
        <w:rPr>
          <w:sz w:val="22"/>
          <w:szCs w:val="22"/>
        </w:rPr>
        <w:t>em</w:t>
      </w:r>
      <w:r w:rsidRPr="00430EC3">
        <w:rPr>
          <w:sz w:val="22"/>
          <w:szCs w:val="22"/>
        </w:rPr>
        <w:t xml:space="preserve"> pozemků se </w:t>
      </w:r>
      <w:r>
        <w:rPr>
          <w:sz w:val="22"/>
          <w:szCs w:val="22"/>
        </w:rPr>
        <w:t>jedná</w:t>
      </w:r>
      <w:r w:rsidRPr="00430E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 převod pozemků zrušené příspěvkové organizaci – SC </w:t>
      </w:r>
      <w:proofErr w:type="gramStart"/>
      <w:r>
        <w:rPr>
          <w:sz w:val="22"/>
          <w:szCs w:val="22"/>
        </w:rPr>
        <w:t>Jilemnice  na</w:t>
      </w:r>
      <w:proofErr w:type="gramEnd"/>
      <w:r>
        <w:rPr>
          <w:sz w:val="22"/>
          <w:szCs w:val="22"/>
        </w:rPr>
        <w:t xml:space="preserve"> správu města, dále o pozemky získané od Pozemkového fondu (</w:t>
      </w:r>
      <w:proofErr w:type="spellStart"/>
      <w:r>
        <w:rPr>
          <w:sz w:val="22"/>
          <w:szCs w:val="22"/>
        </w:rPr>
        <w:t>ppč</w:t>
      </w:r>
      <w:proofErr w:type="spellEnd"/>
      <w:r>
        <w:rPr>
          <w:sz w:val="22"/>
          <w:szCs w:val="22"/>
        </w:rPr>
        <w:t>. 2212/1, 128).</w:t>
      </w:r>
    </w:p>
    <w:p w:rsidR="008D76E0" w:rsidRDefault="008D76E0" w:rsidP="008D76E0">
      <w:pPr>
        <w:pStyle w:val="Normln2"/>
        <w:widowControl/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U pořízení pozemků jinou formou se jedná o změny druhu pozemku (věcná břemena).</w:t>
      </w:r>
    </w:p>
    <w:p w:rsidR="008D76E0" w:rsidRPr="00430EC3" w:rsidRDefault="008D76E0" w:rsidP="008D76E0">
      <w:pPr>
        <w:pStyle w:val="Normln2"/>
        <w:widowControl/>
        <w:spacing w:before="120" w:line="240" w:lineRule="atLeast"/>
        <w:jc w:val="both"/>
        <w:rPr>
          <w:sz w:val="22"/>
          <w:szCs w:val="22"/>
        </w:rPr>
      </w:pPr>
      <w:r w:rsidRPr="00430EC3">
        <w:rPr>
          <w:sz w:val="22"/>
          <w:szCs w:val="22"/>
        </w:rPr>
        <w:t>U pořízení staveb</w:t>
      </w:r>
      <w:r>
        <w:rPr>
          <w:sz w:val="22"/>
          <w:szCs w:val="22"/>
        </w:rPr>
        <w:t xml:space="preserve"> - </w:t>
      </w:r>
      <w:r w:rsidRPr="00430EC3">
        <w:rPr>
          <w:sz w:val="22"/>
          <w:szCs w:val="22"/>
        </w:rPr>
        <w:t xml:space="preserve">investiční výstavbou se jedná </w:t>
      </w:r>
      <w:r>
        <w:rPr>
          <w:sz w:val="22"/>
          <w:szCs w:val="22"/>
        </w:rPr>
        <w:t>o Všesportovní areál Hraběnka, modernizaci odpadového hospodářství, parkoviště u SDJ a DPS, chodník v ulici Na Kozinci a stavbu Kolumbária.</w:t>
      </w:r>
    </w:p>
    <w:p w:rsidR="008D76E0" w:rsidRPr="00430EC3" w:rsidRDefault="008D76E0" w:rsidP="008D76E0">
      <w:pPr>
        <w:pStyle w:val="Normln2"/>
        <w:widowControl/>
        <w:spacing w:before="120" w:line="240" w:lineRule="atLeast"/>
        <w:jc w:val="both"/>
        <w:rPr>
          <w:sz w:val="22"/>
          <w:szCs w:val="22"/>
        </w:rPr>
      </w:pPr>
      <w:r w:rsidRPr="00430EC3">
        <w:rPr>
          <w:sz w:val="22"/>
          <w:szCs w:val="22"/>
        </w:rPr>
        <w:t>Pořízení staveb a budov bezúplatným převodem se týká vrácení svěřeného majetku zřizovateli po zrušené příspěvkové organizaci S</w:t>
      </w:r>
      <w:r>
        <w:rPr>
          <w:sz w:val="22"/>
          <w:szCs w:val="22"/>
        </w:rPr>
        <w:t>C Jilemnice (střelnice, hřiště, horolezecká stěna, přístřešek na dřevo…).</w:t>
      </w:r>
    </w:p>
    <w:p w:rsidR="008D76E0" w:rsidRDefault="008D76E0" w:rsidP="008D76E0">
      <w:pPr>
        <w:pStyle w:val="Normln2"/>
        <w:widowControl/>
        <w:spacing w:before="120" w:line="240" w:lineRule="atLeast"/>
        <w:jc w:val="both"/>
        <w:rPr>
          <w:sz w:val="22"/>
          <w:szCs w:val="22"/>
        </w:rPr>
      </w:pPr>
      <w:r w:rsidRPr="00430EC3">
        <w:rPr>
          <w:sz w:val="22"/>
          <w:szCs w:val="22"/>
        </w:rPr>
        <w:t>U pořízení samostatné věci a soubory samostatných věcí koupí se jedná o nákup automobilů</w:t>
      </w:r>
      <w:r>
        <w:rPr>
          <w:sz w:val="22"/>
          <w:szCs w:val="22"/>
        </w:rPr>
        <w:t xml:space="preserve"> (hasičská cisterna, Škoda Fabia)</w:t>
      </w:r>
      <w:r w:rsidRPr="00430EC3">
        <w:rPr>
          <w:sz w:val="22"/>
          <w:szCs w:val="22"/>
        </w:rPr>
        <w:t xml:space="preserve">, nákup </w:t>
      </w:r>
      <w:r>
        <w:rPr>
          <w:sz w:val="22"/>
          <w:szCs w:val="22"/>
        </w:rPr>
        <w:t xml:space="preserve">kotelen - EPC,  </w:t>
      </w:r>
      <w:proofErr w:type="spellStart"/>
      <w:r>
        <w:rPr>
          <w:sz w:val="22"/>
          <w:szCs w:val="22"/>
        </w:rPr>
        <w:t>Rotomat</w:t>
      </w:r>
      <w:proofErr w:type="spellEnd"/>
      <w:r>
        <w:rPr>
          <w:sz w:val="22"/>
          <w:szCs w:val="22"/>
        </w:rPr>
        <w:t xml:space="preserve">, vyprošťovací zařízení </w:t>
      </w:r>
      <w:proofErr w:type="spellStart"/>
      <w:r>
        <w:rPr>
          <w:sz w:val="22"/>
          <w:szCs w:val="22"/>
        </w:rPr>
        <w:t>Holmatro</w:t>
      </w:r>
      <w:proofErr w:type="spellEnd"/>
      <w:r w:rsidR="006522C1">
        <w:rPr>
          <w:sz w:val="22"/>
          <w:szCs w:val="22"/>
        </w:rPr>
        <w:t xml:space="preserve"> pro požární ochranu </w:t>
      </w:r>
      <w:r>
        <w:rPr>
          <w:sz w:val="22"/>
          <w:szCs w:val="22"/>
        </w:rPr>
        <w:t>a dále vybavení do kanceláří.</w:t>
      </w:r>
    </w:p>
    <w:p w:rsidR="00FB4EA6" w:rsidRDefault="00FB4EA6" w:rsidP="008D76E0">
      <w:pPr>
        <w:pStyle w:val="Normln2"/>
        <w:widowControl/>
        <w:spacing w:before="120" w:line="240" w:lineRule="atLeast"/>
        <w:jc w:val="both"/>
        <w:rPr>
          <w:sz w:val="22"/>
          <w:szCs w:val="22"/>
        </w:rPr>
      </w:pPr>
    </w:p>
    <w:p w:rsidR="00FB4EA6" w:rsidRDefault="00FB4EA6" w:rsidP="008D76E0">
      <w:pPr>
        <w:pStyle w:val="Normln2"/>
        <w:widowControl/>
        <w:spacing w:before="120" w:line="240" w:lineRule="atLeast"/>
        <w:jc w:val="both"/>
        <w:rPr>
          <w:sz w:val="22"/>
          <w:szCs w:val="22"/>
        </w:rPr>
      </w:pPr>
    </w:p>
    <w:p w:rsidR="00FB4EA6" w:rsidRPr="00430EC3" w:rsidRDefault="00FB4EA6" w:rsidP="008D76E0">
      <w:pPr>
        <w:pStyle w:val="Normln2"/>
        <w:widowControl/>
        <w:spacing w:before="120" w:line="240" w:lineRule="atLeast"/>
        <w:jc w:val="both"/>
        <w:rPr>
          <w:sz w:val="22"/>
          <w:szCs w:val="22"/>
        </w:rPr>
      </w:pPr>
    </w:p>
    <w:p w:rsidR="00B82EDF" w:rsidRPr="008D76E0" w:rsidRDefault="00B82EDF" w:rsidP="00B82EDF">
      <w:pPr>
        <w:pStyle w:val="Normln2"/>
        <w:widowControl/>
        <w:spacing w:before="120" w:line="240" w:lineRule="atLeast"/>
        <w:rPr>
          <w:sz w:val="22"/>
          <w:szCs w:val="22"/>
        </w:rPr>
      </w:pPr>
      <w:r w:rsidRPr="008D76E0">
        <w:rPr>
          <w:b/>
          <w:sz w:val="22"/>
          <w:szCs w:val="22"/>
        </w:rPr>
        <w:lastRenderedPageBreak/>
        <w:t>f) Vyřazení dlouhodobého majetku v tis. Kč u vybraných skupin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17"/>
        <w:gridCol w:w="1276"/>
        <w:gridCol w:w="2126"/>
        <w:gridCol w:w="1134"/>
        <w:gridCol w:w="1418"/>
      </w:tblGrid>
      <w:tr w:rsidR="00B82EDF" w:rsidRPr="008D76E0" w:rsidTr="00522E21">
        <w:tc>
          <w:tcPr>
            <w:tcW w:w="2055" w:type="dxa"/>
          </w:tcPr>
          <w:p w:rsidR="00B82EDF" w:rsidRPr="008D76E0" w:rsidRDefault="00B82EDF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</w:tcPr>
          <w:p w:rsidR="00B82EDF" w:rsidRPr="008D76E0" w:rsidRDefault="00B82EDF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 xml:space="preserve">Prodej </w:t>
            </w:r>
          </w:p>
        </w:tc>
        <w:tc>
          <w:tcPr>
            <w:tcW w:w="1276" w:type="dxa"/>
          </w:tcPr>
          <w:p w:rsidR="00B82EDF" w:rsidRPr="008D76E0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8D76E0">
              <w:rPr>
                <w:rFonts w:ascii="Arial" w:hAnsi="Arial" w:cs="Arial"/>
                <w:bCs/>
                <w:sz w:val="16"/>
                <w:szCs w:val="16"/>
              </w:rPr>
              <w:t xml:space="preserve">Likvidace </w:t>
            </w:r>
          </w:p>
          <w:p w:rsidR="00B82EDF" w:rsidRPr="008D76E0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proofErr w:type="gramStart"/>
            <w:r w:rsidRPr="008D76E0">
              <w:rPr>
                <w:rFonts w:ascii="Arial" w:hAnsi="Arial" w:cs="Arial"/>
                <w:bCs/>
                <w:sz w:val="16"/>
                <w:szCs w:val="16"/>
              </w:rPr>
              <w:t>Ostatní</w:t>
            </w:r>
            <w:proofErr w:type="gramEnd"/>
            <w:r w:rsidRPr="008D76E0">
              <w:rPr>
                <w:rFonts w:ascii="Arial" w:hAnsi="Arial" w:cs="Arial"/>
                <w:bCs/>
                <w:sz w:val="16"/>
                <w:szCs w:val="16"/>
              </w:rPr>
              <w:t xml:space="preserve"> .</w:t>
            </w:r>
            <w:proofErr w:type="gramStart"/>
            <w:r w:rsidRPr="008D76E0">
              <w:rPr>
                <w:rFonts w:ascii="Arial" w:hAnsi="Arial" w:cs="Arial"/>
                <w:bCs/>
                <w:sz w:val="16"/>
                <w:szCs w:val="16"/>
              </w:rPr>
              <w:t>úbytky</w:t>
            </w:r>
            <w:proofErr w:type="gramEnd"/>
          </w:p>
        </w:tc>
        <w:tc>
          <w:tcPr>
            <w:tcW w:w="2126" w:type="dxa"/>
          </w:tcPr>
          <w:p w:rsidR="00B82EDF" w:rsidRPr="008D76E0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8D76E0">
              <w:rPr>
                <w:rFonts w:ascii="Arial" w:hAnsi="Arial" w:cs="Arial"/>
                <w:bCs/>
                <w:sz w:val="16"/>
                <w:szCs w:val="16"/>
              </w:rPr>
              <w:t>Bezúplatným převodem, darem, převod na základě právních předpisů</w:t>
            </w:r>
          </w:p>
        </w:tc>
        <w:tc>
          <w:tcPr>
            <w:tcW w:w="1134" w:type="dxa"/>
          </w:tcPr>
          <w:p w:rsidR="00B82EDF" w:rsidRPr="008D76E0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>Vklad</w:t>
            </w:r>
          </w:p>
        </w:tc>
        <w:tc>
          <w:tcPr>
            <w:tcW w:w="1418" w:type="dxa"/>
          </w:tcPr>
          <w:p w:rsidR="00B82EDF" w:rsidRPr="008D76E0" w:rsidRDefault="00B82EDF" w:rsidP="00522E21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8D76E0">
              <w:rPr>
                <w:rFonts w:ascii="Arial" w:hAnsi="Arial" w:cs="Arial"/>
                <w:bCs/>
                <w:sz w:val="16"/>
                <w:szCs w:val="16"/>
              </w:rPr>
              <w:t>Manko, škoda Zmařená investice</w:t>
            </w:r>
          </w:p>
        </w:tc>
      </w:tr>
      <w:tr w:rsidR="008D76E0" w:rsidRPr="008D76E0" w:rsidTr="00522E21">
        <w:tc>
          <w:tcPr>
            <w:tcW w:w="2055" w:type="dxa"/>
          </w:tcPr>
          <w:p w:rsidR="008D76E0" w:rsidRPr="008D76E0" w:rsidRDefault="008D76E0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>Nehmotný</w:t>
            </w:r>
          </w:p>
        </w:tc>
        <w:tc>
          <w:tcPr>
            <w:tcW w:w="1417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 xml:space="preserve">                0</w:t>
            </w:r>
          </w:p>
        </w:tc>
        <w:tc>
          <w:tcPr>
            <w:tcW w:w="1276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 xml:space="preserve">0   </w:t>
            </w:r>
          </w:p>
        </w:tc>
        <w:tc>
          <w:tcPr>
            <w:tcW w:w="2126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 xml:space="preserve">                         0</w:t>
            </w:r>
          </w:p>
        </w:tc>
        <w:tc>
          <w:tcPr>
            <w:tcW w:w="1134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 xml:space="preserve">0                   </w:t>
            </w:r>
          </w:p>
        </w:tc>
        <w:tc>
          <w:tcPr>
            <w:tcW w:w="1418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 xml:space="preserve">             0</w:t>
            </w:r>
          </w:p>
        </w:tc>
      </w:tr>
      <w:tr w:rsidR="008D76E0" w:rsidRPr="008D76E0" w:rsidTr="00522E21">
        <w:tc>
          <w:tcPr>
            <w:tcW w:w="2055" w:type="dxa"/>
          </w:tcPr>
          <w:p w:rsidR="008D76E0" w:rsidRPr="008D76E0" w:rsidRDefault="008D76E0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>Pozemky</w:t>
            </w:r>
          </w:p>
        </w:tc>
        <w:tc>
          <w:tcPr>
            <w:tcW w:w="1417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>226</w:t>
            </w:r>
          </w:p>
        </w:tc>
        <w:tc>
          <w:tcPr>
            <w:tcW w:w="1276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>2 735</w:t>
            </w:r>
          </w:p>
        </w:tc>
        <w:tc>
          <w:tcPr>
            <w:tcW w:w="2126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>343</w:t>
            </w:r>
          </w:p>
        </w:tc>
        <w:tc>
          <w:tcPr>
            <w:tcW w:w="1134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 xml:space="preserve">137                    </w:t>
            </w:r>
          </w:p>
        </w:tc>
        <w:tc>
          <w:tcPr>
            <w:tcW w:w="1418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 xml:space="preserve">              0</w:t>
            </w:r>
          </w:p>
        </w:tc>
      </w:tr>
      <w:tr w:rsidR="008D76E0" w:rsidRPr="008D76E0" w:rsidTr="00522E21">
        <w:tc>
          <w:tcPr>
            <w:tcW w:w="2055" w:type="dxa"/>
          </w:tcPr>
          <w:p w:rsidR="008D76E0" w:rsidRPr="008D76E0" w:rsidRDefault="008D76E0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>Stavby</w:t>
            </w:r>
          </w:p>
        </w:tc>
        <w:tc>
          <w:tcPr>
            <w:tcW w:w="1417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>23 514</w:t>
            </w:r>
          </w:p>
        </w:tc>
        <w:tc>
          <w:tcPr>
            <w:tcW w:w="1276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>0</w:t>
            </w:r>
          </w:p>
        </w:tc>
        <w:tc>
          <w:tcPr>
            <w:tcW w:w="2126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>882</w:t>
            </w:r>
          </w:p>
        </w:tc>
        <w:tc>
          <w:tcPr>
            <w:tcW w:w="1134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 xml:space="preserve">   50 460              </w:t>
            </w:r>
          </w:p>
        </w:tc>
        <w:tc>
          <w:tcPr>
            <w:tcW w:w="1418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 xml:space="preserve">              0 </w:t>
            </w:r>
          </w:p>
        </w:tc>
      </w:tr>
      <w:tr w:rsidR="008D76E0" w:rsidRPr="002015EA" w:rsidTr="00522E21">
        <w:tc>
          <w:tcPr>
            <w:tcW w:w="2055" w:type="dxa"/>
          </w:tcPr>
          <w:p w:rsidR="008D76E0" w:rsidRPr="008D76E0" w:rsidRDefault="008D76E0" w:rsidP="00522E21">
            <w:pPr>
              <w:pStyle w:val="Normln2"/>
              <w:widowControl/>
              <w:spacing w:before="120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 xml:space="preserve">Samostatné věci a </w:t>
            </w:r>
            <w:proofErr w:type="gramStart"/>
            <w:r w:rsidRPr="008D76E0">
              <w:rPr>
                <w:rFonts w:ascii="Arial" w:hAnsi="Arial" w:cs="Arial"/>
                <w:bCs/>
                <w:sz w:val="20"/>
              </w:rPr>
              <w:t>soubory  věcí</w:t>
            </w:r>
            <w:proofErr w:type="gramEnd"/>
            <w:r w:rsidRPr="008D76E0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 xml:space="preserve">3 317     </w:t>
            </w:r>
          </w:p>
        </w:tc>
        <w:tc>
          <w:tcPr>
            <w:tcW w:w="1276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>4 787</w:t>
            </w:r>
          </w:p>
        </w:tc>
        <w:tc>
          <w:tcPr>
            <w:tcW w:w="2126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>469</w:t>
            </w:r>
          </w:p>
        </w:tc>
        <w:tc>
          <w:tcPr>
            <w:tcW w:w="1134" w:type="dxa"/>
          </w:tcPr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 xml:space="preserve">   0        </w:t>
            </w:r>
          </w:p>
          <w:p w:rsidR="008D76E0" w:rsidRPr="008D76E0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8" w:type="dxa"/>
          </w:tcPr>
          <w:p w:rsidR="008D76E0" w:rsidRPr="00430EC3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8D76E0">
              <w:rPr>
                <w:rFonts w:ascii="Arial" w:hAnsi="Arial" w:cs="Arial"/>
                <w:bCs/>
                <w:sz w:val="20"/>
              </w:rPr>
              <w:t>0</w:t>
            </w:r>
            <w:r w:rsidRPr="00430EC3">
              <w:rPr>
                <w:rFonts w:ascii="Arial" w:hAnsi="Arial" w:cs="Arial"/>
                <w:bCs/>
                <w:sz w:val="20"/>
              </w:rPr>
              <w:t xml:space="preserve">     </w:t>
            </w:r>
          </w:p>
          <w:p w:rsidR="008D76E0" w:rsidRPr="00430EC3" w:rsidRDefault="008D76E0" w:rsidP="008D76E0">
            <w:pPr>
              <w:pStyle w:val="Normln2"/>
              <w:widowControl/>
              <w:spacing w:before="120"/>
              <w:jc w:val="right"/>
              <w:rPr>
                <w:rFonts w:ascii="Arial" w:hAnsi="Arial" w:cs="Arial"/>
                <w:bCs/>
                <w:sz w:val="20"/>
              </w:rPr>
            </w:pPr>
            <w:r w:rsidRPr="00430EC3">
              <w:rPr>
                <w:rFonts w:ascii="Arial" w:hAnsi="Arial" w:cs="Arial"/>
                <w:bCs/>
                <w:sz w:val="20"/>
              </w:rPr>
              <w:t xml:space="preserve">              </w:t>
            </w:r>
          </w:p>
        </w:tc>
      </w:tr>
    </w:tbl>
    <w:p w:rsidR="008D76E0" w:rsidRPr="00430EC3" w:rsidRDefault="008D76E0" w:rsidP="008D76E0">
      <w:pPr>
        <w:pStyle w:val="Normln2"/>
        <w:widowControl/>
        <w:spacing w:before="120" w:line="240" w:lineRule="atLeast"/>
      </w:pPr>
      <w:r w:rsidRPr="00430EC3">
        <w:t xml:space="preserve">U úbytků pozemků prodejem – prodej částí parcel </w:t>
      </w:r>
      <w:r>
        <w:t>u čp. 1000/1001 (</w:t>
      </w:r>
      <w:proofErr w:type="spellStart"/>
      <w:r>
        <w:t>ppč</w:t>
      </w:r>
      <w:proofErr w:type="spellEnd"/>
      <w:r>
        <w:t>. 839/44), u čp. 59/60(</w:t>
      </w:r>
      <w:proofErr w:type="spellStart"/>
      <w:r>
        <w:t>ppč</w:t>
      </w:r>
      <w:proofErr w:type="spellEnd"/>
      <w:r>
        <w:t xml:space="preserve">. 72/3) a dále prodej pozemků 1796/1, 1797/1 a 1798/31(p. Kalenský) a </w:t>
      </w:r>
      <w:proofErr w:type="spellStart"/>
      <w:r>
        <w:t>ppč</w:t>
      </w:r>
      <w:proofErr w:type="spellEnd"/>
      <w:r>
        <w:t>. 985/1(Čechová).</w:t>
      </w:r>
    </w:p>
    <w:p w:rsidR="008D76E0" w:rsidRPr="00430EC3" w:rsidRDefault="008D76E0" w:rsidP="008D76E0">
      <w:pPr>
        <w:pStyle w:val="Normln2"/>
        <w:widowControl/>
        <w:spacing w:before="120" w:line="240" w:lineRule="atLeast"/>
      </w:pPr>
      <w:r w:rsidRPr="00430EC3">
        <w:t>U úbytků staveb prodejem se jed</w:t>
      </w:r>
      <w:r>
        <w:t>ná o byty v Zámecké ul. čp. 59/</w:t>
      </w:r>
      <w:r w:rsidRPr="00430EC3">
        <w:t>60</w:t>
      </w:r>
      <w:r>
        <w:t>, dále byty v Roztocké ul. čp 1000/1001.</w:t>
      </w:r>
    </w:p>
    <w:p w:rsidR="008D76E0" w:rsidRPr="00430EC3" w:rsidRDefault="008D76E0" w:rsidP="008D76E0">
      <w:pPr>
        <w:pStyle w:val="Normln2"/>
        <w:widowControl/>
        <w:spacing w:before="120" w:line="240" w:lineRule="atLeast"/>
      </w:pPr>
      <w:r w:rsidRPr="00430EC3">
        <w:t xml:space="preserve">U úbytků bezúplatným převodem staveb se jedná svěření majetku (čp. </w:t>
      </w:r>
      <w:r>
        <w:t>85</w:t>
      </w:r>
      <w:r w:rsidRPr="00430EC3">
        <w:t>) do správy Z</w:t>
      </w:r>
      <w:r>
        <w:t>U</w:t>
      </w:r>
      <w:r w:rsidRPr="00430EC3">
        <w:t xml:space="preserve">Š </w:t>
      </w:r>
      <w:r>
        <w:t>Valdštejnská 216</w:t>
      </w:r>
      <w:r w:rsidRPr="00430EC3">
        <w:t>, příspěvkové organizaci.</w:t>
      </w:r>
    </w:p>
    <w:p w:rsidR="008D76E0" w:rsidRDefault="008D76E0" w:rsidP="008D76E0">
      <w:pPr>
        <w:pStyle w:val="Normln2"/>
        <w:widowControl/>
        <w:spacing w:before="120" w:line="240" w:lineRule="atLeast"/>
      </w:pPr>
      <w:r w:rsidRPr="00430EC3">
        <w:t>U úbytků staveb vkl</w:t>
      </w:r>
      <w:r>
        <w:t>adem se jedná o vklad do zřízené</w:t>
      </w:r>
      <w:r w:rsidRPr="00430EC3">
        <w:t xml:space="preserve"> společnost</w:t>
      </w:r>
      <w:r>
        <w:t>i</w:t>
      </w:r>
      <w:r w:rsidRPr="00430EC3">
        <w:t xml:space="preserve"> SC s.r.o. </w:t>
      </w:r>
      <w:r>
        <w:t>(Hala čp. 102).</w:t>
      </w:r>
    </w:p>
    <w:p w:rsidR="008D76E0" w:rsidRDefault="008D76E0" w:rsidP="008D76E0">
      <w:pPr>
        <w:pStyle w:val="Normln2"/>
        <w:widowControl/>
        <w:spacing w:before="120" w:line="240" w:lineRule="atLeast"/>
      </w:pPr>
      <w:r w:rsidRPr="00430EC3">
        <w:t>U úbytků samostatných věcí a souborů prodej</w:t>
      </w:r>
      <w:r>
        <w:t>em se</w:t>
      </w:r>
      <w:r w:rsidRPr="00430EC3">
        <w:t xml:space="preserve"> </w:t>
      </w:r>
      <w:r>
        <w:t>jedná o prodej staré Cisterny Obci Košťálov.</w:t>
      </w:r>
    </w:p>
    <w:p w:rsidR="008D76E0" w:rsidRDefault="008D76E0" w:rsidP="008D76E0">
      <w:pPr>
        <w:pStyle w:val="Normln2"/>
        <w:widowControl/>
        <w:spacing w:before="120" w:line="240" w:lineRule="atLeast"/>
      </w:pPr>
      <w:r w:rsidRPr="00430EC3">
        <w:t>U úbytků samostatných věcí a souborů</w:t>
      </w:r>
      <w:r>
        <w:t xml:space="preserve"> likvidací se jedná o likvidaci starých kotelen a dále likvidaci starého kancelářského nábytku a vybavení.</w:t>
      </w:r>
    </w:p>
    <w:p w:rsidR="008D76E0" w:rsidRPr="00430EC3" w:rsidRDefault="008D76E0" w:rsidP="008D76E0">
      <w:pPr>
        <w:pStyle w:val="Normln2"/>
        <w:widowControl/>
        <w:spacing w:before="120" w:line="240" w:lineRule="atLeast"/>
      </w:pPr>
      <w:r w:rsidRPr="00430EC3">
        <w:t>U úbytků samostatných věcí a souborů</w:t>
      </w:r>
      <w:r>
        <w:t xml:space="preserve"> bezúplatným převodem se jedná o převod staré Škody Octavie na Oblastní Charitu Jilemnice.</w:t>
      </w:r>
    </w:p>
    <w:p w:rsidR="008D76E0" w:rsidRPr="00B82EDF" w:rsidRDefault="008D76E0" w:rsidP="008D76E0">
      <w:pPr>
        <w:pStyle w:val="Normln2"/>
        <w:widowControl/>
        <w:spacing w:before="120" w:line="240" w:lineRule="atLeast"/>
        <w:rPr>
          <w:b/>
        </w:rPr>
      </w:pPr>
      <w:r w:rsidRPr="00B82EDF">
        <w:rPr>
          <w:b/>
        </w:rPr>
        <w:t>g) Pohledávky: stav k 31. 12. 201</w:t>
      </w:r>
      <w:r>
        <w:rPr>
          <w:b/>
        </w:rPr>
        <w:t>8</w:t>
      </w:r>
    </w:p>
    <w:p w:rsidR="008D76E0" w:rsidRPr="00B82EDF" w:rsidRDefault="008D76E0" w:rsidP="008D76E0">
      <w:pPr>
        <w:jc w:val="both"/>
        <w:rPr>
          <w:sz w:val="24"/>
        </w:rPr>
      </w:pPr>
      <w:r w:rsidRPr="00B82EDF">
        <w:rPr>
          <w:sz w:val="24"/>
        </w:rPr>
        <w:t>účet 311 odběratelé: 3.</w:t>
      </w:r>
      <w:r>
        <w:rPr>
          <w:sz w:val="24"/>
        </w:rPr>
        <w:t>436</w:t>
      </w:r>
      <w:r w:rsidRPr="00B82EDF">
        <w:rPr>
          <w:sz w:val="24"/>
        </w:rPr>
        <w:t xml:space="preserve"> tis. Kč, z toho bytové hospodářství 2.</w:t>
      </w:r>
      <w:r>
        <w:rPr>
          <w:sz w:val="24"/>
        </w:rPr>
        <w:t>827</w:t>
      </w:r>
      <w:r w:rsidRPr="00B82EDF">
        <w:rPr>
          <w:sz w:val="24"/>
        </w:rPr>
        <w:t xml:space="preserve"> tis. Kč </w:t>
      </w:r>
    </w:p>
    <w:p w:rsidR="008D76E0" w:rsidRDefault="008D76E0" w:rsidP="008D76E0">
      <w:pPr>
        <w:rPr>
          <w:sz w:val="24"/>
        </w:rPr>
      </w:pPr>
      <w:r w:rsidRPr="00B82EDF">
        <w:rPr>
          <w:sz w:val="24"/>
        </w:rPr>
        <w:t>účet 315 pohledávky ze správních činností (sankčn</w:t>
      </w:r>
      <w:r>
        <w:rPr>
          <w:sz w:val="24"/>
        </w:rPr>
        <w:t>í platby, místní poplatky): 5.141</w:t>
      </w:r>
      <w:r w:rsidRPr="00B82EDF">
        <w:rPr>
          <w:sz w:val="24"/>
        </w:rPr>
        <w:t xml:space="preserve"> tis. Kč</w:t>
      </w:r>
    </w:p>
    <w:p w:rsidR="008D76E0" w:rsidRPr="00B82EDF" w:rsidRDefault="008D76E0" w:rsidP="008D76E0">
      <w:pPr>
        <w:rPr>
          <w:b/>
          <w:sz w:val="24"/>
        </w:rPr>
      </w:pPr>
      <w:r w:rsidRPr="00B82EDF">
        <w:rPr>
          <w:b/>
          <w:sz w:val="24"/>
        </w:rPr>
        <w:t>h) Závazky: stav k 31. 12. 201</w:t>
      </w:r>
      <w:r>
        <w:rPr>
          <w:b/>
          <w:sz w:val="24"/>
        </w:rPr>
        <w:t>8</w:t>
      </w:r>
    </w:p>
    <w:p w:rsidR="008D76E0" w:rsidRPr="00B82EDF" w:rsidRDefault="008D76E0" w:rsidP="008D76E0">
      <w:pPr>
        <w:jc w:val="both"/>
        <w:rPr>
          <w:sz w:val="24"/>
        </w:rPr>
      </w:pPr>
      <w:r>
        <w:rPr>
          <w:sz w:val="24"/>
        </w:rPr>
        <w:t>účet 321 dodavatelé: 2</w:t>
      </w:r>
      <w:r w:rsidRPr="00B82EDF">
        <w:rPr>
          <w:sz w:val="24"/>
        </w:rPr>
        <w:t>.</w:t>
      </w:r>
      <w:r>
        <w:rPr>
          <w:sz w:val="24"/>
        </w:rPr>
        <w:t>8</w:t>
      </w:r>
      <w:r w:rsidRPr="00B82EDF">
        <w:rPr>
          <w:sz w:val="24"/>
        </w:rPr>
        <w:t>1</w:t>
      </w:r>
      <w:r>
        <w:rPr>
          <w:sz w:val="24"/>
        </w:rPr>
        <w:t>5</w:t>
      </w:r>
      <w:r w:rsidRPr="00B82EDF">
        <w:rPr>
          <w:sz w:val="24"/>
        </w:rPr>
        <w:t xml:space="preserve"> tis. Kč, z toho po době splatnosti 0</w:t>
      </w:r>
    </w:p>
    <w:p w:rsidR="008D76E0" w:rsidRPr="00B82EDF" w:rsidRDefault="008D76E0" w:rsidP="008D76E0">
      <w:pPr>
        <w:rPr>
          <w:sz w:val="24"/>
        </w:rPr>
      </w:pPr>
      <w:r w:rsidRPr="00B82EDF">
        <w:rPr>
          <w:sz w:val="24"/>
        </w:rPr>
        <w:t xml:space="preserve">účet 451 dlouhodobé úvěry:    0 </w:t>
      </w:r>
    </w:p>
    <w:p w:rsidR="008D76E0" w:rsidRDefault="008D76E0" w:rsidP="008D76E0">
      <w:pPr>
        <w:jc w:val="both"/>
        <w:rPr>
          <w:sz w:val="24"/>
        </w:rPr>
      </w:pPr>
      <w:r w:rsidRPr="00B82EDF">
        <w:rPr>
          <w:sz w:val="24"/>
        </w:rPr>
        <w:t xml:space="preserve">účet 459 ostatní dlouhodobé závazky: </w:t>
      </w:r>
      <w:r>
        <w:rPr>
          <w:sz w:val="24"/>
        </w:rPr>
        <w:t>43.059</w:t>
      </w:r>
      <w:r w:rsidRPr="00B82EDF">
        <w:rPr>
          <w:sz w:val="24"/>
        </w:rPr>
        <w:t xml:space="preserve"> tis. Kč (splacené budoucí kupní ceny bytů)</w:t>
      </w:r>
    </w:p>
    <w:p w:rsidR="008D76E0" w:rsidRDefault="008D76E0" w:rsidP="008D76E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18.486 tis. Kč (závazek z projektu EPC)</w:t>
      </w:r>
    </w:p>
    <w:p w:rsidR="00335A33" w:rsidRDefault="00335A33" w:rsidP="00335A33">
      <w:pPr>
        <w:rPr>
          <w:sz w:val="24"/>
        </w:rPr>
      </w:pPr>
    </w:p>
    <w:p w:rsidR="00092014" w:rsidRDefault="00B929EA" w:rsidP="00B929EA">
      <w:pPr>
        <w:rPr>
          <w:b/>
          <w:sz w:val="24"/>
        </w:rPr>
      </w:pPr>
      <w:r w:rsidRPr="008D76E0">
        <w:rPr>
          <w:b/>
          <w:sz w:val="24"/>
        </w:rPr>
        <w:t>3) Tvorba a použití účelových fondů</w:t>
      </w:r>
      <w:r w:rsidR="00131904" w:rsidRPr="008D76E0">
        <w:rPr>
          <w:b/>
          <w:sz w:val="24"/>
        </w:rPr>
        <w:t xml:space="preserve">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276"/>
        <w:gridCol w:w="4394"/>
      </w:tblGrid>
      <w:tr w:rsidR="00FB4EA6" w:rsidRPr="002015EA" w:rsidTr="0089024B">
        <w:trPr>
          <w:trHeight w:val="360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FB4E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a) </w:t>
            </w:r>
            <w:r w:rsidRPr="00952F2D">
              <w:rPr>
                <w:rFonts w:ascii="Arial" w:hAnsi="Arial" w:cs="Arial"/>
                <w:b/>
                <w:bCs/>
              </w:rPr>
              <w:t>Zpráva o tvorbě a použití sociálního fondu za rok 2018 (údaje v Kč)</w:t>
            </w:r>
          </w:p>
        </w:tc>
      </w:tr>
      <w:tr w:rsidR="00FB4EA6" w:rsidRPr="002015EA" w:rsidTr="0089024B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 xml:space="preserve">Poznámka </w:t>
            </w:r>
          </w:p>
        </w:tc>
      </w:tr>
      <w:tr w:rsidR="00FB4EA6" w:rsidRPr="002015EA" w:rsidTr="0089024B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 xml:space="preserve">Počáteční stav k </w:t>
            </w:r>
            <w:proofErr w:type="gramStart"/>
            <w:r w:rsidRPr="00952F2D">
              <w:rPr>
                <w:rFonts w:ascii="Arial" w:hAnsi="Arial" w:cs="Arial"/>
              </w:rPr>
              <w:t>1.1.2018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 xml:space="preserve">802 312,62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 </w:t>
            </w:r>
          </w:p>
        </w:tc>
      </w:tr>
      <w:tr w:rsidR="00FB4EA6" w:rsidRPr="002015EA" w:rsidTr="0089024B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>Tvorba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 xml:space="preserve">900 000,00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dle rozpočtu města</w:t>
            </w:r>
          </w:p>
        </w:tc>
      </w:tr>
      <w:tr w:rsidR="00FB4EA6" w:rsidRPr="002015EA" w:rsidTr="0089024B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>Příjmy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 xml:space="preserve">10 150,00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úroky, náhrady</w:t>
            </w:r>
          </w:p>
        </w:tc>
      </w:tr>
      <w:tr w:rsidR="00FB4EA6" w:rsidRPr="002015EA" w:rsidTr="0089024B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F2D">
              <w:rPr>
                <w:rFonts w:ascii="Arial" w:hAnsi="Arial" w:cs="Arial"/>
                <w:b/>
                <w:bCs/>
              </w:rPr>
              <w:t>Celkem příjmy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F2D">
              <w:rPr>
                <w:rFonts w:ascii="Arial" w:hAnsi="Arial" w:cs="Arial"/>
                <w:b/>
                <w:bCs/>
              </w:rPr>
              <w:t xml:space="preserve">910 150,00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 </w:t>
            </w:r>
          </w:p>
        </w:tc>
      </w:tr>
      <w:tr w:rsidR="00FB4EA6" w:rsidRPr="002015EA" w:rsidTr="0089024B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>Základní čerpání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 xml:space="preserve">244 069,40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čerpání soc. fondu se řídí směrnicí č.4/2018</w:t>
            </w:r>
          </w:p>
        </w:tc>
      </w:tr>
      <w:tr w:rsidR="00FB4EA6" w:rsidRPr="002015EA" w:rsidTr="0089024B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>Příspěvek na stravování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 xml:space="preserve">187 802,96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 </w:t>
            </w:r>
          </w:p>
        </w:tc>
      </w:tr>
      <w:tr w:rsidR="00FB4EA6" w:rsidRPr="002015EA" w:rsidTr="0089024B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>Příspěvek na dovolenou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 xml:space="preserve">142 967,00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 </w:t>
            </w:r>
          </w:p>
        </w:tc>
      </w:tr>
      <w:tr w:rsidR="00FB4EA6" w:rsidRPr="002015EA" w:rsidTr="0089024B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>Příspěvek na penzijní připojištění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 xml:space="preserve">63 400,00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 </w:t>
            </w:r>
          </w:p>
        </w:tc>
      </w:tr>
      <w:tr w:rsidR="00FB4EA6" w:rsidRPr="002015EA" w:rsidTr="0089024B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52F2D">
              <w:rPr>
                <w:rFonts w:ascii="Arial" w:hAnsi="Arial" w:cs="Arial"/>
              </w:rPr>
              <w:t>Ošatné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 xml:space="preserve">116 810,00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 </w:t>
            </w:r>
          </w:p>
        </w:tc>
      </w:tr>
      <w:tr w:rsidR="00FB4EA6" w:rsidRPr="002015EA" w:rsidTr="0089024B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>Věcné dary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 xml:space="preserve">28 920,00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 </w:t>
            </w:r>
          </w:p>
        </w:tc>
      </w:tr>
      <w:tr w:rsidR="00FB4EA6" w:rsidRPr="002015EA" w:rsidTr="0089024B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>Výdaje ze společné části fondu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52F2D">
              <w:rPr>
                <w:rFonts w:ascii="Arial" w:hAnsi="Arial" w:cs="Arial"/>
              </w:rPr>
              <w:t xml:space="preserve">28 590,01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 </w:t>
            </w:r>
          </w:p>
        </w:tc>
      </w:tr>
      <w:tr w:rsidR="00FB4EA6" w:rsidRPr="002015EA" w:rsidTr="0089024B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F2D">
              <w:rPr>
                <w:rFonts w:ascii="Arial" w:hAnsi="Arial" w:cs="Arial"/>
                <w:b/>
                <w:bCs/>
              </w:rPr>
              <w:t>Celkem výdaje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F2D">
              <w:rPr>
                <w:rFonts w:ascii="Arial" w:hAnsi="Arial" w:cs="Arial"/>
                <w:b/>
                <w:bCs/>
              </w:rPr>
              <w:t xml:space="preserve">812 559,37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 </w:t>
            </w:r>
          </w:p>
        </w:tc>
      </w:tr>
      <w:tr w:rsidR="00FB4EA6" w:rsidRPr="002015EA" w:rsidTr="0089024B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F2D">
              <w:rPr>
                <w:rFonts w:ascii="Arial" w:hAnsi="Arial" w:cs="Arial"/>
                <w:b/>
                <w:bCs/>
              </w:rPr>
              <w:t>Konečný stav fondu k 31. 12.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2F2D">
              <w:rPr>
                <w:rFonts w:ascii="Arial" w:hAnsi="Arial" w:cs="Arial"/>
                <w:b/>
                <w:bCs/>
              </w:rPr>
              <w:t xml:space="preserve">899 903,25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 </w:t>
            </w:r>
          </w:p>
        </w:tc>
      </w:tr>
    </w:tbl>
    <w:p w:rsidR="00FB4EA6" w:rsidRDefault="00FB4EA6" w:rsidP="00FB4EA6">
      <w:pPr>
        <w:rPr>
          <w:b/>
          <w:sz w:val="24"/>
          <w:highlight w:val="yellow"/>
        </w:rPr>
      </w:pPr>
    </w:p>
    <w:p w:rsidR="00FB4EA6" w:rsidRDefault="00FB4EA6" w:rsidP="00B929EA">
      <w:pPr>
        <w:rPr>
          <w:b/>
          <w:sz w:val="24"/>
        </w:rPr>
      </w:pPr>
    </w:p>
    <w:p w:rsidR="00FB4EA6" w:rsidRDefault="00FB4EA6" w:rsidP="00B929EA">
      <w:pPr>
        <w:rPr>
          <w:b/>
          <w:sz w:val="24"/>
        </w:rPr>
      </w:pPr>
    </w:p>
    <w:p w:rsidR="00FB4EA6" w:rsidRDefault="00FB4EA6" w:rsidP="00B929EA">
      <w:pPr>
        <w:rPr>
          <w:b/>
          <w:sz w:val="24"/>
        </w:rPr>
      </w:pPr>
    </w:p>
    <w:p w:rsidR="00FB4EA6" w:rsidRPr="008D76E0" w:rsidRDefault="00FB4EA6" w:rsidP="00B929EA">
      <w:pPr>
        <w:rPr>
          <w:b/>
          <w:sz w:val="24"/>
        </w:rPr>
      </w:pPr>
    </w:p>
    <w:tbl>
      <w:tblPr>
        <w:tblW w:w="9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476"/>
        <w:gridCol w:w="4761"/>
      </w:tblGrid>
      <w:tr w:rsidR="00FB4EA6" w:rsidRPr="00F2499B" w:rsidTr="0089024B">
        <w:trPr>
          <w:trHeight w:val="360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FB4E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b) </w:t>
            </w:r>
            <w:r w:rsidRPr="00F2499B">
              <w:rPr>
                <w:rFonts w:ascii="Arial" w:hAnsi="Arial" w:cs="Arial"/>
                <w:b/>
                <w:bCs/>
              </w:rPr>
              <w:t>Zpráva o tvorbě a použití krizového fondu za rok 2018 (údaje v Kč)</w:t>
            </w:r>
          </w:p>
        </w:tc>
      </w:tr>
      <w:tr w:rsidR="00FB4EA6" w:rsidRPr="00F2499B" w:rsidTr="0089024B">
        <w:trPr>
          <w:trHeight w:val="25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>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> 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 xml:space="preserve">Poznámka </w:t>
            </w:r>
          </w:p>
        </w:tc>
      </w:tr>
      <w:tr w:rsidR="00FB4EA6" w:rsidRPr="00F2499B" w:rsidTr="0089024B">
        <w:trPr>
          <w:trHeight w:val="25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  <w:b/>
                <w:bCs/>
              </w:rPr>
            </w:pPr>
            <w:r w:rsidRPr="00F2499B">
              <w:rPr>
                <w:rFonts w:ascii="Arial" w:hAnsi="Arial" w:cs="Arial"/>
                <w:b/>
                <w:bCs/>
              </w:rPr>
              <w:t>Počáteční stav k 1. 1. 2018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jc w:val="right"/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 xml:space="preserve">1 105 858,07 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> </w:t>
            </w:r>
          </w:p>
        </w:tc>
      </w:tr>
      <w:tr w:rsidR="00FB4EA6" w:rsidRPr="00F2499B" w:rsidTr="0089024B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>Tvorba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jc w:val="right"/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 xml:space="preserve">243 000,00 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> </w:t>
            </w:r>
          </w:p>
        </w:tc>
      </w:tr>
      <w:tr w:rsidR="00FB4EA6" w:rsidRPr="00F2499B" w:rsidTr="0089024B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>Příjmy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jc w:val="right"/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 xml:space="preserve">630,02 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</w:p>
        </w:tc>
      </w:tr>
      <w:tr w:rsidR="00FB4EA6" w:rsidRPr="00F2499B" w:rsidTr="0089024B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  <w:b/>
                <w:bCs/>
              </w:rPr>
            </w:pPr>
            <w:r w:rsidRPr="00F2499B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jc w:val="right"/>
              <w:rPr>
                <w:rFonts w:ascii="Arial" w:hAnsi="Arial" w:cs="Arial"/>
                <w:b/>
                <w:bCs/>
              </w:rPr>
            </w:pPr>
            <w:r w:rsidRPr="00F2499B">
              <w:rPr>
                <w:rFonts w:ascii="Arial" w:hAnsi="Arial" w:cs="Arial"/>
                <w:b/>
                <w:bCs/>
              </w:rPr>
              <w:t xml:space="preserve">1 349 488,09 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> </w:t>
            </w:r>
          </w:p>
        </w:tc>
      </w:tr>
      <w:tr w:rsidR="00FB4EA6" w:rsidRPr="00F2499B" w:rsidTr="0089024B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  <w:b/>
                <w:bCs/>
              </w:rPr>
            </w:pPr>
            <w:r w:rsidRPr="00F2499B">
              <w:rPr>
                <w:rFonts w:ascii="Arial" w:hAnsi="Arial" w:cs="Arial"/>
                <w:b/>
                <w:bCs/>
              </w:rPr>
              <w:t>Výdaje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> 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> </w:t>
            </w:r>
          </w:p>
        </w:tc>
      </w:tr>
      <w:tr w:rsidR="00FB4EA6" w:rsidRPr="00F2499B" w:rsidTr="0089024B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>hmotný dlouhodobý majetek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jc w:val="right"/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 xml:space="preserve">23 480,00 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EA6" w:rsidRPr="00F2499B" w:rsidRDefault="00FB4EA6" w:rsidP="008902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99B">
              <w:rPr>
                <w:rFonts w:ascii="Arial" w:hAnsi="Arial" w:cs="Arial"/>
                <w:color w:val="000000"/>
                <w:sz w:val="18"/>
                <w:szCs w:val="18"/>
              </w:rPr>
              <w:t>pračka - KŘ, stativ - vybavení</w:t>
            </w:r>
          </w:p>
        </w:tc>
      </w:tr>
      <w:tr w:rsidR="00FB4EA6" w:rsidRPr="00F2499B" w:rsidTr="0089024B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>materiál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EA6" w:rsidRPr="00F2499B" w:rsidRDefault="00FB4EA6" w:rsidP="0089024B">
            <w:pPr>
              <w:jc w:val="right"/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 xml:space="preserve">3 638,00 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EA6" w:rsidRPr="00F2499B" w:rsidRDefault="00FB4EA6" w:rsidP="0089024B">
            <w:pPr>
              <w:rPr>
                <w:rFonts w:ascii="Arial" w:hAnsi="Arial" w:cs="Arial"/>
                <w:sz w:val="18"/>
                <w:szCs w:val="18"/>
              </w:rPr>
            </w:pPr>
            <w:r w:rsidRPr="00F2499B">
              <w:rPr>
                <w:rFonts w:ascii="Arial" w:hAnsi="Arial" w:cs="Arial"/>
                <w:sz w:val="18"/>
                <w:szCs w:val="18"/>
              </w:rPr>
              <w:t xml:space="preserve">materiál KŘ - písek, materiál pro </w:t>
            </w:r>
            <w:proofErr w:type="spellStart"/>
            <w:r w:rsidRPr="00F2499B">
              <w:rPr>
                <w:rFonts w:ascii="Arial" w:hAnsi="Arial" w:cs="Arial"/>
                <w:sz w:val="18"/>
                <w:szCs w:val="18"/>
              </w:rPr>
              <w:t>prev</w:t>
            </w:r>
            <w:proofErr w:type="spellEnd"/>
            <w:r w:rsidRPr="00F2499B">
              <w:rPr>
                <w:rFonts w:ascii="Arial" w:hAnsi="Arial" w:cs="Arial"/>
                <w:sz w:val="18"/>
                <w:szCs w:val="18"/>
              </w:rPr>
              <w:t>. projekt pro seniory</w:t>
            </w:r>
          </w:p>
        </w:tc>
      </w:tr>
      <w:tr w:rsidR="00FB4EA6" w:rsidRPr="00F2499B" w:rsidTr="0089024B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>služby telekomunikací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jc w:val="right"/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 xml:space="preserve">7,02 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EA6" w:rsidRPr="00F2499B" w:rsidRDefault="00FB4EA6" w:rsidP="0089024B">
            <w:pPr>
              <w:rPr>
                <w:rFonts w:ascii="Arial" w:hAnsi="Arial" w:cs="Arial"/>
                <w:sz w:val="18"/>
                <w:szCs w:val="18"/>
              </w:rPr>
            </w:pPr>
            <w:r w:rsidRPr="00F2499B">
              <w:rPr>
                <w:rFonts w:ascii="Arial" w:hAnsi="Arial" w:cs="Arial"/>
                <w:sz w:val="18"/>
                <w:szCs w:val="18"/>
              </w:rPr>
              <w:t>telefony KŘ</w:t>
            </w:r>
          </w:p>
        </w:tc>
      </w:tr>
      <w:tr w:rsidR="00FB4EA6" w:rsidRPr="00F2499B" w:rsidTr="0089024B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>nákup služeb</w:t>
            </w:r>
          </w:p>
        </w:tc>
        <w:tc>
          <w:tcPr>
            <w:tcW w:w="14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jc w:val="right"/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 xml:space="preserve">41 800,00 </w:t>
            </w:r>
          </w:p>
        </w:tc>
        <w:tc>
          <w:tcPr>
            <w:tcW w:w="47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EA6" w:rsidRPr="00F2499B" w:rsidRDefault="00FB4EA6" w:rsidP="00B00B6C">
            <w:pPr>
              <w:rPr>
                <w:rFonts w:ascii="Arial" w:hAnsi="Arial" w:cs="Arial"/>
                <w:sz w:val="18"/>
                <w:szCs w:val="18"/>
              </w:rPr>
            </w:pPr>
            <w:r w:rsidRPr="00F2499B">
              <w:rPr>
                <w:rFonts w:ascii="Arial" w:hAnsi="Arial" w:cs="Arial"/>
                <w:sz w:val="18"/>
                <w:szCs w:val="18"/>
              </w:rPr>
              <w:t>služby v rámci prev</w:t>
            </w:r>
            <w:r w:rsidR="00B00B6C">
              <w:rPr>
                <w:rFonts w:ascii="Arial" w:hAnsi="Arial" w:cs="Arial"/>
                <w:sz w:val="18"/>
                <w:szCs w:val="18"/>
              </w:rPr>
              <w:t>entivního</w:t>
            </w:r>
            <w:r w:rsidRPr="00F2499B">
              <w:rPr>
                <w:rFonts w:ascii="Arial" w:hAnsi="Arial" w:cs="Arial"/>
                <w:sz w:val="18"/>
                <w:szCs w:val="18"/>
              </w:rPr>
              <w:t xml:space="preserve"> projektu pro seniory</w:t>
            </w:r>
          </w:p>
        </w:tc>
      </w:tr>
      <w:tr w:rsidR="00FB4EA6" w:rsidRPr="00F2499B" w:rsidTr="0089024B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>pohoštění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EA6" w:rsidRPr="00F2499B" w:rsidRDefault="00FB4EA6" w:rsidP="0089024B">
            <w:pPr>
              <w:jc w:val="right"/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 xml:space="preserve">2 665,00 </w:t>
            </w:r>
          </w:p>
        </w:tc>
        <w:tc>
          <w:tcPr>
            <w:tcW w:w="4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EA6" w:rsidRPr="00F2499B" w:rsidRDefault="00FB4EA6" w:rsidP="00B00B6C">
            <w:pPr>
              <w:rPr>
                <w:rFonts w:ascii="Arial" w:hAnsi="Arial" w:cs="Arial"/>
                <w:sz w:val="18"/>
                <w:szCs w:val="18"/>
              </w:rPr>
            </w:pPr>
            <w:r w:rsidRPr="00F2499B">
              <w:rPr>
                <w:rFonts w:ascii="Arial" w:hAnsi="Arial" w:cs="Arial"/>
                <w:sz w:val="18"/>
                <w:szCs w:val="18"/>
              </w:rPr>
              <w:t>jednání KŘ a projekt pro seniory</w:t>
            </w:r>
          </w:p>
        </w:tc>
      </w:tr>
      <w:tr w:rsidR="00FB4EA6" w:rsidRPr="00F2499B" w:rsidTr="0089024B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 xml:space="preserve">Neinvestiční dotace obcím 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EA6" w:rsidRPr="00F2499B" w:rsidRDefault="00FB4EA6" w:rsidP="0089024B">
            <w:pPr>
              <w:jc w:val="right"/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 xml:space="preserve">5 000,00 </w:t>
            </w:r>
          </w:p>
        </w:tc>
        <w:tc>
          <w:tcPr>
            <w:tcW w:w="4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EA6" w:rsidRPr="00F2499B" w:rsidRDefault="00FB4EA6" w:rsidP="0089024B">
            <w:pPr>
              <w:rPr>
                <w:rFonts w:ascii="Arial" w:hAnsi="Arial" w:cs="Arial"/>
                <w:sz w:val="18"/>
                <w:szCs w:val="18"/>
              </w:rPr>
            </w:pPr>
            <w:r w:rsidRPr="00F2499B">
              <w:rPr>
                <w:rFonts w:ascii="Arial" w:hAnsi="Arial" w:cs="Arial"/>
                <w:sz w:val="18"/>
                <w:szCs w:val="18"/>
              </w:rPr>
              <w:t>dotace obci Čistá u Horek</w:t>
            </w:r>
          </w:p>
        </w:tc>
      </w:tr>
      <w:tr w:rsidR="00FB4EA6" w:rsidRPr="00F2499B" w:rsidTr="0089024B">
        <w:trPr>
          <w:trHeight w:val="255"/>
        </w:trPr>
        <w:tc>
          <w:tcPr>
            <w:tcW w:w="2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  <w:b/>
                <w:bCs/>
              </w:rPr>
            </w:pPr>
            <w:r w:rsidRPr="00F2499B">
              <w:rPr>
                <w:rFonts w:ascii="Arial" w:hAnsi="Arial" w:cs="Arial"/>
                <w:b/>
                <w:bCs/>
              </w:rPr>
              <w:t>Celkem výdaje</w:t>
            </w:r>
          </w:p>
        </w:tc>
        <w:tc>
          <w:tcPr>
            <w:tcW w:w="14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jc w:val="right"/>
              <w:rPr>
                <w:rFonts w:ascii="Arial" w:hAnsi="Arial" w:cs="Arial"/>
                <w:b/>
                <w:bCs/>
              </w:rPr>
            </w:pPr>
            <w:r w:rsidRPr="00F2499B">
              <w:rPr>
                <w:rFonts w:ascii="Arial" w:hAnsi="Arial" w:cs="Arial"/>
                <w:b/>
                <w:bCs/>
              </w:rPr>
              <w:t xml:space="preserve">76 590,02 </w:t>
            </w:r>
          </w:p>
        </w:tc>
        <w:tc>
          <w:tcPr>
            <w:tcW w:w="4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> </w:t>
            </w:r>
          </w:p>
        </w:tc>
      </w:tr>
      <w:tr w:rsidR="00FB4EA6" w:rsidRPr="00F2499B" w:rsidTr="0089024B">
        <w:trPr>
          <w:trHeight w:val="25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  <w:b/>
                <w:bCs/>
              </w:rPr>
            </w:pPr>
            <w:r w:rsidRPr="00F2499B">
              <w:rPr>
                <w:rFonts w:ascii="Arial" w:hAnsi="Arial" w:cs="Arial"/>
                <w:b/>
                <w:bCs/>
              </w:rPr>
              <w:t>KS fondu k 31. 12. 2018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jc w:val="right"/>
              <w:rPr>
                <w:rFonts w:ascii="Arial" w:hAnsi="Arial" w:cs="Arial"/>
                <w:b/>
                <w:bCs/>
              </w:rPr>
            </w:pPr>
            <w:r w:rsidRPr="00F2499B">
              <w:rPr>
                <w:rFonts w:ascii="Arial" w:hAnsi="Arial" w:cs="Arial"/>
                <w:b/>
                <w:bCs/>
              </w:rPr>
              <w:t xml:space="preserve">1 272 898,07 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F2499B" w:rsidRDefault="00FB4EA6" w:rsidP="0089024B">
            <w:pPr>
              <w:rPr>
                <w:rFonts w:ascii="Arial" w:hAnsi="Arial" w:cs="Arial"/>
              </w:rPr>
            </w:pPr>
            <w:r w:rsidRPr="00F2499B">
              <w:rPr>
                <w:rFonts w:ascii="Arial" w:hAnsi="Arial" w:cs="Arial"/>
              </w:rPr>
              <w:t> </w:t>
            </w:r>
          </w:p>
        </w:tc>
      </w:tr>
    </w:tbl>
    <w:p w:rsidR="00FB4EA6" w:rsidRPr="00952F2D" w:rsidRDefault="00FB4EA6">
      <w:pPr>
        <w:rPr>
          <w:sz w:val="24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1380"/>
        <w:gridCol w:w="5021"/>
      </w:tblGrid>
      <w:tr w:rsidR="00FB4EA6" w:rsidRPr="00952F2D" w:rsidTr="0089024B">
        <w:trPr>
          <w:trHeight w:val="360"/>
        </w:trPr>
        <w:tc>
          <w:tcPr>
            <w:tcW w:w="9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FB4E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c) </w:t>
            </w:r>
            <w:r w:rsidRPr="00952F2D">
              <w:rPr>
                <w:rFonts w:ascii="Arial" w:hAnsi="Arial" w:cs="Arial"/>
                <w:b/>
                <w:bCs/>
              </w:rPr>
              <w:t>Zpráva o tvorbě a použití fondu rezerv a rozvoje za rok 201</w:t>
            </w:r>
            <w:r>
              <w:rPr>
                <w:rFonts w:ascii="Arial" w:hAnsi="Arial" w:cs="Arial"/>
                <w:b/>
                <w:bCs/>
              </w:rPr>
              <w:t>8</w:t>
            </w:r>
            <w:r w:rsidRPr="00952F2D">
              <w:rPr>
                <w:rFonts w:ascii="Arial" w:hAnsi="Arial" w:cs="Arial"/>
                <w:b/>
                <w:bCs/>
              </w:rPr>
              <w:t xml:space="preserve"> (údaje v Kč)</w:t>
            </w:r>
          </w:p>
        </w:tc>
      </w:tr>
      <w:tr w:rsidR="00FB4EA6" w:rsidRPr="00952F2D" w:rsidTr="0089024B">
        <w:trPr>
          <w:trHeight w:val="255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 </w:t>
            </w:r>
          </w:p>
        </w:tc>
        <w:tc>
          <w:tcPr>
            <w:tcW w:w="5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 xml:space="preserve">Poznámka </w:t>
            </w:r>
          </w:p>
        </w:tc>
      </w:tr>
      <w:tr w:rsidR="00FB4EA6" w:rsidRPr="00952F2D" w:rsidTr="0089024B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  <w:b/>
              </w:rPr>
            </w:pPr>
            <w:r w:rsidRPr="00952F2D">
              <w:rPr>
                <w:rFonts w:ascii="Arial" w:hAnsi="Arial" w:cs="Arial"/>
                <w:b/>
              </w:rPr>
              <w:t>Počáteční stav k 1. 1. 2018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jc w:val="right"/>
              <w:rPr>
                <w:rFonts w:ascii="Arial" w:hAnsi="Arial" w:cs="Arial"/>
                <w:b/>
                <w:bCs/>
              </w:rPr>
            </w:pPr>
            <w:r w:rsidRPr="00952F2D">
              <w:rPr>
                <w:rFonts w:ascii="Arial" w:hAnsi="Arial" w:cs="Arial"/>
                <w:b/>
                <w:bCs/>
              </w:rPr>
              <w:t xml:space="preserve">2 887 216,43 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 </w:t>
            </w:r>
          </w:p>
        </w:tc>
      </w:tr>
      <w:tr w:rsidR="00FB4EA6" w:rsidRPr="00952F2D" w:rsidTr="0089024B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Tvorba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jc w:val="right"/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 xml:space="preserve">0,00 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 </w:t>
            </w:r>
          </w:p>
        </w:tc>
      </w:tr>
      <w:tr w:rsidR="00FB4EA6" w:rsidRPr="00952F2D" w:rsidTr="0089024B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Výdaje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jc w:val="right"/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 xml:space="preserve">0,00 </w:t>
            </w:r>
          </w:p>
        </w:tc>
        <w:tc>
          <w:tcPr>
            <w:tcW w:w="5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v roce 2018 nedošlo k použití fondu rezerv a rozvoje</w:t>
            </w:r>
          </w:p>
        </w:tc>
      </w:tr>
      <w:tr w:rsidR="00FB4EA6" w:rsidRPr="00952F2D" w:rsidTr="0089024B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  <w:b/>
                <w:bCs/>
              </w:rPr>
            </w:pPr>
            <w:r w:rsidRPr="00952F2D">
              <w:rPr>
                <w:rFonts w:ascii="Arial" w:hAnsi="Arial" w:cs="Arial"/>
                <w:b/>
                <w:bCs/>
              </w:rPr>
              <w:t>KS fondu k 31. 12. 2018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jc w:val="right"/>
              <w:rPr>
                <w:rFonts w:ascii="Arial" w:hAnsi="Arial" w:cs="Arial"/>
                <w:b/>
                <w:bCs/>
              </w:rPr>
            </w:pPr>
            <w:r w:rsidRPr="00952F2D">
              <w:rPr>
                <w:rFonts w:ascii="Arial" w:hAnsi="Arial" w:cs="Arial"/>
                <w:b/>
                <w:bCs/>
              </w:rPr>
              <w:t xml:space="preserve">2 887 216,43 </w:t>
            </w:r>
          </w:p>
        </w:tc>
        <w:tc>
          <w:tcPr>
            <w:tcW w:w="5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A6" w:rsidRPr="00952F2D" w:rsidRDefault="00FB4EA6" w:rsidP="0089024B">
            <w:pPr>
              <w:rPr>
                <w:rFonts w:ascii="Arial" w:hAnsi="Arial" w:cs="Arial"/>
              </w:rPr>
            </w:pPr>
            <w:r w:rsidRPr="00952F2D">
              <w:rPr>
                <w:rFonts w:ascii="Arial" w:hAnsi="Arial" w:cs="Arial"/>
              </w:rPr>
              <w:t> </w:t>
            </w:r>
          </w:p>
        </w:tc>
      </w:tr>
    </w:tbl>
    <w:p w:rsidR="00FB4EA6" w:rsidRPr="008812D0" w:rsidRDefault="00FB4EA6">
      <w:pPr>
        <w:rPr>
          <w:b/>
          <w:sz w:val="24"/>
          <w:highlight w:val="yellow"/>
        </w:rPr>
      </w:pPr>
    </w:p>
    <w:p w:rsidR="00131904" w:rsidRDefault="00B929EA" w:rsidP="00B929EA">
      <w:pPr>
        <w:rPr>
          <w:b/>
          <w:sz w:val="24"/>
        </w:rPr>
      </w:pPr>
      <w:r>
        <w:rPr>
          <w:b/>
          <w:sz w:val="24"/>
        </w:rPr>
        <w:t xml:space="preserve">4) </w:t>
      </w:r>
      <w:r w:rsidR="00131904" w:rsidRPr="003076FB">
        <w:rPr>
          <w:b/>
          <w:sz w:val="24"/>
        </w:rPr>
        <w:t>Hospodaření organizací zřízen</w:t>
      </w:r>
      <w:r w:rsidR="0031774D" w:rsidRPr="003076FB">
        <w:rPr>
          <w:b/>
          <w:sz w:val="24"/>
        </w:rPr>
        <w:t xml:space="preserve">ých </w:t>
      </w:r>
      <w:r w:rsidR="00D16405" w:rsidRPr="003076FB">
        <w:rPr>
          <w:b/>
          <w:sz w:val="24"/>
        </w:rPr>
        <w:t>m</w:t>
      </w:r>
      <w:r w:rsidR="0031774D" w:rsidRPr="003076FB">
        <w:rPr>
          <w:b/>
          <w:sz w:val="24"/>
        </w:rPr>
        <w:t xml:space="preserve">ěstem Jilemnice za rok </w:t>
      </w:r>
      <w:r w:rsidR="002015EA">
        <w:rPr>
          <w:b/>
          <w:sz w:val="24"/>
        </w:rPr>
        <w:t>2018</w:t>
      </w:r>
    </w:p>
    <w:p w:rsidR="009E419B" w:rsidRDefault="009E419B" w:rsidP="009E419B">
      <w:pPr>
        <w:ind w:left="644"/>
        <w:rPr>
          <w:b/>
          <w:sz w:val="24"/>
        </w:rPr>
      </w:pPr>
    </w:p>
    <w:p w:rsidR="00B929EA" w:rsidRPr="00C30BBD" w:rsidRDefault="00C462A3" w:rsidP="00B929EA">
      <w:pPr>
        <w:rPr>
          <w:b/>
          <w:sz w:val="24"/>
          <w:szCs w:val="24"/>
        </w:rPr>
      </w:pPr>
      <w:r>
        <w:rPr>
          <w:b/>
          <w:sz w:val="24"/>
          <w:szCs w:val="24"/>
        </w:rPr>
        <w:t>4.1</w:t>
      </w:r>
      <w:r w:rsidR="00E3078D">
        <w:rPr>
          <w:b/>
          <w:sz w:val="24"/>
          <w:szCs w:val="24"/>
        </w:rPr>
        <w:t>.</w:t>
      </w:r>
      <w:r w:rsidR="00925686" w:rsidRPr="00C30BBD">
        <w:rPr>
          <w:b/>
          <w:sz w:val="24"/>
          <w:szCs w:val="24"/>
        </w:rPr>
        <w:t xml:space="preserve"> Příspěvkové organizace:</w:t>
      </w:r>
    </w:p>
    <w:p w:rsidR="00925686" w:rsidRPr="00925686" w:rsidRDefault="00925686" w:rsidP="00925686">
      <w:pPr>
        <w:rPr>
          <w:sz w:val="22"/>
          <w:szCs w:val="22"/>
        </w:rPr>
      </w:pPr>
      <w:r>
        <w:rPr>
          <w:sz w:val="22"/>
          <w:szCs w:val="22"/>
        </w:rPr>
        <w:t>Přehled hospodaření (výše nákladů a výnosů za hlavní a doplňkovou činnost) a údaje o hospodaření s majetkem jsou v příloze č.</w:t>
      </w:r>
      <w:r w:rsidR="006B25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 </w:t>
      </w:r>
      <w:r w:rsidR="00D148D2">
        <w:rPr>
          <w:sz w:val="22"/>
          <w:szCs w:val="22"/>
        </w:rPr>
        <w:t>tohoto</w:t>
      </w:r>
      <w:r>
        <w:rPr>
          <w:sz w:val="22"/>
          <w:szCs w:val="22"/>
        </w:rPr>
        <w:t xml:space="preserve"> dokumentu. </w:t>
      </w:r>
    </w:p>
    <w:p w:rsidR="00C462A3" w:rsidRDefault="00925686">
      <w:pPr>
        <w:rPr>
          <w:sz w:val="24"/>
        </w:rPr>
      </w:pPr>
      <w:r>
        <w:rPr>
          <w:sz w:val="22"/>
        </w:rPr>
        <w:t>RM schválila účetní závěrky všech příspěvkových organiz</w:t>
      </w:r>
      <w:r w:rsidR="00252A9A">
        <w:rPr>
          <w:sz w:val="22"/>
        </w:rPr>
        <w:t>ací k rozvahovému dni 31.</w:t>
      </w:r>
      <w:r w:rsidR="00C462A3">
        <w:rPr>
          <w:sz w:val="22"/>
        </w:rPr>
        <w:t xml:space="preserve"> </w:t>
      </w:r>
      <w:r w:rsidR="00252A9A">
        <w:rPr>
          <w:sz w:val="22"/>
        </w:rPr>
        <w:t>12.</w:t>
      </w:r>
      <w:r w:rsidR="00C462A3">
        <w:rPr>
          <w:sz w:val="22"/>
        </w:rPr>
        <w:t xml:space="preserve"> </w:t>
      </w:r>
      <w:r w:rsidR="002015EA">
        <w:rPr>
          <w:sz w:val="22"/>
        </w:rPr>
        <w:t>2018</w:t>
      </w:r>
      <w:r>
        <w:rPr>
          <w:sz w:val="22"/>
        </w:rPr>
        <w:t xml:space="preserve">. </w:t>
      </w:r>
      <w:r w:rsidR="00131904" w:rsidRPr="003076FB">
        <w:rPr>
          <w:sz w:val="22"/>
        </w:rPr>
        <w:t xml:space="preserve">Vypořádání </w:t>
      </w:r>
      <w:r w:rsidR="006D4FD2" w:rsidRPr="003076FB">
        <w:rPr>
          <w:sz w:val="22"/>
        </w:rPr>
        <w:t>výsledku hospodaření</w:t>
      </w:r>
      <w:r w:rsidR="00D924E7" w:rsidRPr="003076FB">
        <w:rPr>
          <w:sz w:val="22"/>
        </w:rPr>
        <w:t xml:space="preserve"> </w:t>
      </w:r>
      <w:r w:rsidR="001A5AC0" w:rsidRPr="003076FB">
        <w:rPr>
          <w:sz w:val="22"/>
        </w:rPr>
        <w:t xml:space="preserve">jednotlivých </w:t>
      </w:r>
      <w:r>
        <w:rPr>
          <w:sz w:val="22"/>
        </w:rPr>
        <w:t>příspěvkových organizací</w:t>
      </w:r>
      <w:r w:rsidR="001A5AC0" w:rsidRPr="003076FB">
        <w:rPr>
          <w:sz w:val="22"/>
        </w:rPr>
        <w:t xml:space="preserve"> </w:t>
      </w:r>
      <w:r w:rsidR="00D924E7" w:rsidRPr="003076FB">
        <w:rPr>
          <w:sz w:val="22"/>
        </w:rPr>
        <w:t>za rok 20</w:t>
      </w:r>
      <w:r w:rsidR="001829AE" w:rsidRPr="003076FB">
        <w:rPr>
          <w:sz w:val="22"/>
        </w:rPr>
        <w:t>1</w:t>
      </w:r>
      <w:r w:rsidR="002015EA">
        <w:rPr>
          <w:sz w:val="22"/>
        </w:rPr>
        <w:t>8</w:t>
      </w:r>
      <w:r w:rsidR="00131904" w:rsidRPr="003076FB">
        <w:rPr>
          <w:sz w:val="22"/>
        </w:rPr>
        <w:t xml:space="preserve"> schválila RM </w:t>
      </w:r>
      <w:r w:rsidR="00131904" w:rsidRPr="003076FB">
        <w:rPr>
          <w:sz w:val="24"/>
        </w:rPr>
        <w:t>takto:</w:t>
      </w:r>
    </w:p>
    <w:p w:rsidR="00D148D2" w:rsidRPr="003076FB" w:rsidRDefault="00D148D2">
      <w:pPr>
        <w:rPr>
          <w:sz w:val="24"/>
        </w:rPr>
      </w:pPr>
    </w:p>
    <w:tbl>
      <w:tblPr>
        <w:tblW w:w="908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7"/>
        <w:gridCol w:w="1417"/>
        <w:gridCol w:w="1418"/>
        <w:gridCol w:w="1275"/>
        <w:gridCol w:w="1360"/>
        <w:gridCol w:w="1480"/>
      </w:tblGrid>
      <w:tr w:rsidR="000967DC" w:rsidRPr="005B7D3F" w:rsidTr="00253AD6">
        <w:trPr>
          <w:trHeight w:val="255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Organizace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 xml:space="preserve"> do fondu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do fondu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do fondu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F4F" w:rsidRPr="003076FB" w:rsidRDefault="005E0F4F" w:rsidP="005E0F4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76FB">
              <w:rPr>
                <w:rFonts w:ascii="Arial" w:hAnsi="Arial" w:cs="Arial"/>
                <w:b/>
                <w:bCs/>
                <w:sz w:val="16"/>
                <w:szCs w:val="16"/>
              </w:rPr>
              <w:t>Nerozděleno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Celkem</w:t>
            </w:r>
          </w:p>
        </w:tc>
      </w:tr>
      <w:tr w:rsidR="000967DC" w:rsidRPr="005B7D3F" w:rsidTr="00253AD6">
        <w:trPr>
          <w:trHeight w:val="270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C462A3" w:rsidRDefault="00C462A3">
            <w:pPr>
              <w:rPr>
                <w:rFonts w:ascii="Arial" w:hAnsi="Arial" w:cs="Arial"/>
                <w:bCs/>
              </w:rPr>
            </w:pPr>
            <w:r w:rsidRPr="00C462A3">
              <w:rPr>
                <w:rFonts w:ascii="Arial" w:hAnsi="Arial" w:cs="Arial"/>
                <w:bCs/>
              </w:rPr>
              <w:t>údaje v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odměn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rezerv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investic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67DC" w:rsidRPr="003076FB" w:rsidRDefault="000967DC">
            <w:pPr>
              <w:rPr>
                <w:rFonts w:ascii="Arial" w:hAnsi="Arial" w:cs="Arial"/>
                <w:b/>
                <w:bCs/>
              </w:rPr>
            </w:pPr>
            <w:r w:rsidRPr="003076FB">
              <w:rPr>
                <w:rFonts w:ascii="Arial" w:hAnsi="Arial" w:cs="Arial"/>
                <w:b/>
                <w:bCs/>
              </w:rPr>
              <w:t>vykázaný HV</w:t>
            </w:r>
          </w:p>
        </w:tc>
      </w:tr>
      <w:tr w:rsidR="002015EA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Dětské centrum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8 005,43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8 005,43</w:t>
            </w:r>
          </w:p>
        </w:tc>
      </w:tr>
      <w:tr w:rsidR="002015EA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Mateřská škola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189 535,43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189 535,43</w:t>
            </w:r>
          </w:p>
        </w:tc>
      </w:tr>
      <w:tr w:rsidR="002015EA" w:rsidRPr="005B7D3F" w:rsidTr="008C23B8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Spol. </w:t>
            </w:r>
            <w:proofErr w:type="gramStart"/>
            <w:r>
              <w:rPr>
                <w:rFonts w:ascii="Arial" w:hAnsi="Arial" w:cs="Arial"/>
                <w:b/>
                <w:bCs/>
              </w:rPr>
              <w:t>dům  Jilm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360 225,05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360 225,05</w:t>
            </w:r>
          </w:p>
        </w:tc>
      </w:tr>
      <w:tr w:rsidR="002015EA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ZŠ J. </w:t>
            </w:r>
            <w:proofErr w:type="spellStart"/>
            <w:r>
              <w:rPr>
                <w:rFonts w:ascii="Arial" w:hAnsi="Arial" w:cs="Arial"/>
                <w:b/>
                <w:bCs/>
              </w:rPr>
              <w:t>Harracha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51 590,91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51 590,91</w:t>
            </w:r>
          </w:p>
        </w:tc>
      </w:tr>
      <w:tr w:rsidR="002015EA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ZŠ Komenského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298 625,99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298 625,99</w:t>
            </w:r>
          </w:p>
        </w:tc>
      </w:tr>
      <w:tr w:rsidR="002015EA" w:rsidRPr="005B7D3F" w:rsidTr="00253AD6">
        <w:trPr>
          <w:trHeight w:val="255"/>
        </w:trPr>
        <w:tc>
          <w:tcPr>
            <w:tcW w:w="213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ZUŠ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2 201,75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2 201,75</w:t>
            </w:r>
          </w:p>
        </w:tc>
      </w:tr>
      <w:tr w:rsidR="002015EA" w:rsidRPr="005B7D3F" w:rsidTr="003076FB">
        <w:trPr>
          <w:trHeight w:val="270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910 184,56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910 184,56</w:t>
            </w:r>
          </w:p>
        </w:tc>
      </w:tr>
    </w:tbl>
    <w:p w:rsidR="00C30BBD" w:rsidRDefault="00C30BBD" w:rsidP="00C30BBD">
      <w:pPr>
        <w:rPr>
          <w:i/>
        </w:rPr>
      </w:pPr>
    </w:p>
    <w:p w:rsidR="003076FB" w:rsidRPr="00ED2613" w:rsidRDefault="00ED2613" w:rsidP="00430EC3">
      <w:pPr>
        <w:jc w:val="both"/>
        <w:rPr>
          <w:sz w:val="24"/>
          <w:szCs w:val="24"/>
        </w:rPr>
      </w:pPr>
      <w:r w:rsidRPr="00ED2613">
        <w:rPr>
          <w:sz w:val="24"/>
          <w:szCs w:val="24"/>
        </w:rPr>
        <w:t xml:space="preserve">Zrušení </w:t>
      </w:r>
      <w:r w:rsidR="002015EA" w:rsidRPr="00ED2613">
        <w:rPr>
          <w:sz w:val="24"/>
          <w:szCs w:val="24"/>
        </w:rPr>
        <w:t>ZŠ spec</w:t>
      </w:r>
      <w:r w:rsidRPr="00ED2613">
        <w:rPr>
          <w:sz w:val="24"/>
          <w:szCs w:val="24"/>
        </w:rPr>
        <w:t>iální</w:t>
      </w:r>
      <w:r w:rsidR="002015EA" w:rsidRPr="00ED2613">
        <w:rPr>
          <w:sz w:val="24"/>
          <w:szCs w:val="24"/>
        </w:rPr>
        <w:t xml:space="preserve"> a MŠ spec</w:t>
      </w:r>
      <w:r w:rsidRPr="00ED2613">
        <w:rPr>
          <w:sz w:val="24"/>
          <w:szCs w:val="24"/>
        </w:rPr>
        <w:t>iální</w:t>
      </w:r>
      <w:r w:rsidR="002015EA" w:rsidRPr="00ED2613">
        <w:rPr>
          <w:sz w:val="24"/>
          <w:szCs w:val="24"/>
        </w:rPr>
        <w:t>:</w:t>
      </w:r>
    </w:p>
    <w:p w:rsidR="00ED2613" w:rsidRPr="00ED2613" w:rsidRDefault="00ED2613" w:rsidP="00ED2613">
      <w:pPr>
        <w:jc w:val="both"/>
        <w:rPr>
          <w:sz w:val="24"/>
          <w:szCs w:val="24"/>
        </w:rPr>
      </w:pPr>
      <w:r w:rsidRPr="00ED2613">
        <w:rPr>
          <w:sz w:val="24"/>
          <w:szCs w:val="24"/>
        </w:rPr>
        <w:t>Zastupitelstvo města dne 27.</w:t>
      </w:r>
      <w:r>
        <w:rPr>
          <w:sz w:val="24"/>
          <w:szCs w:val="24"/>
        </w:rPr>
        <w:t xml:space="preserve"> </w:t>
      </w:r>
      <w:r w:rsidRPr="00ED2613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ED2613">
        <w:rPr>
          <w:sz w:val="24"/>
          <w:szCs w:val="24"/>
        </w:rPr>
        <w:t>2019 v usnesení č. 49/18 zrušilo Základní školu speciální a mateřskou školu speciální ke dni 31.</w:t>
      </w:r>
      <w:r>
        <w:rPr>
          <w:sz w:val="24"/>
          <w:szCs w:val="24"/>
        </w:rPr>
        <w:t xml:space="preserve"> </w:t>
      </w:r>
      <w:r w:rsidRPr="00ED2613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Pr="00ED2613">
        <w:rPr>
          <w:sz w:val="24"/>
          <w:szCs w:val="24"/>
        </w:rPr>
        <w:t xml:space="preserve">2019. Majetek, práva, pohledávky a závazky přešly na zřizovatele, tj. město Jilemnice. Rada města schválila dne 10. 10. 2018 pod č. </w:t>
      </w:r>
      <w:proofErr w:type="spellStart"/>
      <w:r w:rsidRPr="00ED2613">
        <w:rPr>
          <w:sz w:val="24"/>
          <w:szCs w:val="24"/>
        </w:rPr>
        <w:t>usn</w:t>
      </w:r>
      <w:proofErr w:type="spellEnd"/>
      <w:r w:rsidRPr="00ED2613">
        <w:rPr>
          <w:sz w:val="24"/>
          <w:szCs w:val="24"/>
        </w:rPr>
        <w:t>. 256/18 mimořádnou účetní uzávěrku této organizace ke dni zrušení, tj. 31.</w:t>
      </w:r>
      <w:r>
        <w:rPr>
          <w:sz w:val="24"/>
          <w:szCs w:val="24"/>
        </w:rPr>
        <w:t xml:space="preserve"> </w:t>
      </w:r>
      <w:r w:rsidRPr="00ED2613">
        <w:rPr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Pr="00ED2613">
        <w:rPr>
          <w:sz w:val="24"/>
          <w:szCs w:val="24"/>
        </w:rPr>
        <w:t>2019.</w:t>
      </w:r>
    </w:p>
    <w:p w:rsidR="002015EA" w:rsidRDefault="002015EA" w:rsidP="00430EC3">
      <w:pPr>
        <w:jc w:val="both"/>
        <w:rPr>
          <w:b/>
          <w:sz w:val="24"/>
          <w:szCs w:val="24"/>
        </w:rPr>
      </w:pPr>
    </w:p>
    <w:p w:rsidR="00C462A3" w:rsidRPr="00C30BBD" w:rsidRDefault="00C462A3" w:rsidP="003076FB">
      <w:pPr>
        <w:rPr>
          <w:b/>
          <w:sz w:val="24"/>
          <w:szCs w:val="24"/>
        </w:rPr>
      </w:pPr>
      <w:r>
        <w:rPr>
          <w:b/>
          <w:sz w:val="24"/>
          <w:szCs w:val="24"/>
        </w:rPr>
        <w:t>4.2) Obchodní organizace</w:t>
      </w:r>
    </w:p>
    <w:p w:rsidR="00C30BBD" w:rsidRPr="009D7115" w:rsidRDefault="00C462A3" w:rsidP="00B929EA">
      <w:pPr>
        <w:rPr>
          <w:b/>
          <w:sz w:val="24"/>
          <w:szCs w:val="24"/>
        </w:rPr>
      </w:pPr>
      <w:r w:rsidRPr="009D7115">
        <w:rPr>
          <w:b/>
          <w:sz w:val="24"/>
          <w:szCs w:val="24"/>
        </w:rPr>
        <w:t>a)</w:t>
      </w:r>
      <w:r w:rsidR="00A46152" w:rsidRPr="009D7115">
        <w:rPr>
          <w:b/>
          <w:sz w:val="24"/>
          <w:szCs w:val="24"/>
        </w:rPr>
        <w:t xml:space="preserve"> MMN</w:t>
      </w:r>
      <w:r w:rsidR="00B65AC0" w:rsidRPr="009D7115">
        <w:rPr>
          <w:b/>
          <w:sz w:val="24"/>
          <w:szCs w:val="24"/>
        </w:rPr>
        <w:t xml:space="preserve"> </w:t>
      </w:r>
      <w:r w:rsidR="00A46152" w:rsidRPr="009D7115">
        <w:rPr>
          <w:b/>
          <w:sz w:val="24"/>
          <w:szCs w:val="24"/>
        </w:rPr>
        <w:t>a.s.</w:t>
      </w:r>
      <w:r w:rsidR="00D148D2" w:rsidRPr="009D7115">
        <w:rPr>
          <w:b/>
          <w:sz w:val="24"/>
          <w:szCs w:val="24"/>
        </w:rPr>
        <w:t xml:space="preserve">, IČO 05421888, </w:t>
      </w:r>
      <w:proofErr w:type="spellStart"/>
      <w:r w:rsidR="00D148D2" w:rsidRPr="009D7115">
        <w:rPr>
          <w:b/>
          <w:sz w:val="24"/>
          <w:szCs w:val="24"/>
        </w:rPr>
        <w:t>Metyšova</w:t>
      </w:r>
      <w:proofErr w:type="spellEnd"/>
      <w:r w:rsidR="00D148D2" w:rsidRPr="009D7115">
        <w:rPr>
          <w:b/>
          <w:sz w:val="24"/>
          <w:szCs w:val="24"/>
        </w:rPr>
        <w:t xml:space="preserve"> 465, Jilemnice</w:t>
      </w:r>
    </w:p>
    <w:p w:rsidR="00892D6F" w:rsidRPr="009D7115" w:rsidRDefault="00892D6F" w:rsidP="00430EC3">
      <w:pPr>
        <w:jc w:val="both"/>
        <w:rPr>
          <w:sz w:val="24"/>
          <w:szCs w:val="24"/>
        </w:rPr>
      </w:pPr>
      <w:r w:rsidRPr="009D7115">
        <w:rPr>
          <w:sz w:val="24"/>
          <w:szCs w:val="24"/>
        </w:rPr>
        <w:t>K 31.</w:t>
      </w:r>
      <w:r w:rsidR="00C462A3" w:rsidRPr="009D7115">
        <w:rPr>
          <w:sz w:val="24"/>
          <w:szCs w:val="24"/>
        </w:rPr>
        <w:t xml:space="preserve"> </w:t>
      </w:r>
      <w:r w:rsidRPr="009D7115">
        <w:rPr>
          <w:sz w:val="24"/>
          <w:szCs w:val="24"/>
        </w:rPr>
        <w:t>12.</w:t>
      </w:r>
      <w:r w:rsidR="00C462A3" w:rsidRPr="009D7115">
        <w:rPr>
          <w:sz w:val="24"/>
          <w:szCs w:val="24"/>
        </w:rPr>
        <w:t xml:space="preserve"> </w:t>
      </w:r>
      <w:r w:rsidRPr="009D7115">
        <w:rPr>
          <w:sz w:val="24"/>
          <w:szCs w:val="24"/>
        </w:rPr>
        <w:t>201</w:t>
      </w:r>
      <w:r w:rsidR="009D7115" w:rsidRPr="009D7115">
        <w:rPr>
          <w:sz w:val="24"/>
          <w:szCs w:val="24"/>
        </w:rPr>
        <w:t>8</w:t>
      </w:r>
      <w:r w:rsidRPr="009D7115">
        <w:rPr>
          <w:sz w:val="24"/>
          <w:szCs w:val="24"/>
        </w:rPr>
        <w:t xml:space="preserve"> vlastní město Jilemnice 65% akcií, 35% akcií vlastní město Semily.</w:t>
      </w:r>
    </w:p>
    <w:p w:rsidR="0020401C" w:rsidRPr="009D7115" w:rsidRDefault="007D21BE" w:rsidP="00430EC3">
      <w:pPr>
        <w:jc w:val="both"/>
        <w:rPr>
          <w:sz w:val="24"/>
          <w:szCs w:val="24"/>
        </w:rPr>
      </w:pPr>
      <w:r w:rsidRPr="009D7115">
        <w:rPr>
          <w:sz w:val="24"/>
          <w:szCs w:val="24"/>
        </w:rPr>
        <w:t>M</w:t>
      </w:r>
      <w:r w:rsidR="0020401C" w:rsidRPr="009D7115">
        <w:rPr>
          <w:sz w:val="24"/>
          <w:szCs w:val="24"/>
        </w:rPr>
        <w:t xml:space="preserve">ěsto Jilemnice </w:t>
      </w:r>
      <w:r w:rsidR="009D7115" w:rsidRPr="009D7115">
        <w:rPr>
          <w:sz w:val="24"/>
          <w:szCs w:val="24"/>
        </w:rPr>
        <w:t>ne</w:t>
      </w:r>
      <w:r w:rsidR="0020401C" w:rsidRPr="009D7115">
        <w:rPr>
          <w:sz w:val="24"/>
          <w:szCs w:val="24"/>
        </w:rPr>
        <w:t>poskytlo MMN</w:t>
      </w:r>
      <w:r w:rsidR="00B65AC0" w:rsidRPr="009D7115">
        <w:rPr>
          <w:sz w:val="24"/>
          <w:szCs w:val="24"/>
        </w:rPr>
        <w:t xml:space="preserve"> </w:t>
      </w:r>
      <w:r w:rsidR="0020401C" w:rsidRPr="009D7115">
        <w:rPr>
          <w:sz w:val="24"/>
          <w:szCs w:val="24"/>
        </w:rPr>
        <w:t>a.s. v roce 201</w:t>
      </w:r>
      <w:r w:rsidR="009D7115" w:rsidRPr="009D7115">
        <w:rPr>
          <w:sz w:val="24"/>
          <w:szCs w:val="24"/>
        </w:rPr>
        <w:t xml:space="preserve">8 žádnou dotaci ani </w:t>
      </w:r>
      <w:r w:rsidR="0020401C" w:rsidRPr="009D7115">
        <w:rPr>
          <w:sz w:val="24"/>
          <w:szCs w:val="24"/>
        </w:rPr>
        <w:t>příplate</w:t>
      </w:r>
      <w:r w:rsidR="009D7115" w:rsidRPr="009D7115">
        <w:rPr>
          <w:sz w:val="24"/>
          <w:szCs w:val="24"/>
        </w:rPr>
        <w:t>k mimo základní kapitál.</w:t>
      </w:r>
    </w:p>
    <w:p w:rsidR="00884D64" w:rsidRPr="009D7115" w:rsidRDefault="00884D64" w:rsidP="00430EC3">
      <w:pPr>
        <w:jc w:val="both"/>
        <w:rPr>
          <w:sz w:val="24"/>
          <w:szCs w:val="24"/>
        </w:rPr>
      </w:pPr>
      <w:r w:rsidRPr="009D7115">
        <w:rPr>
          <w:sz w:val="24"/>
          <w:szCs w:val="24"/>
        </w:rPr>
        <w:t>Vykázaný výsledek hospodaření k 31.</w:t>
      </w:r>
      <w:r w:rsidR="00BB4481" w:rsidRPr="009D7115">
        <w:rPr>
          <w:sz w:val="24"/>
          <w:szCs w:val="24"/>
        </w:rPr>
        <w:t xml:space="preserve"> </w:t>
      </w:r>
      <w:r w:rsidRPr="009D7115">
        <w:rPr>
          <w:sz w:val="24"/>
          <w:szCs w:val="24"/>
        </w:rPr>
        <w:t>12.</w:t>
      </w:r>
      <w:r w:rsidR="00BB4481" w:rsidRPr="009D7115">
        <w:rPr>
          <w:sz w:val="24"/>
          <w:szCs w:val="24"/>
        </w:rPr>
        <w:t xml:space="preserve"> </w:t>
      </w:r>
      <w:r w:rsidRPr="009D7115">
        <w:rPr>
          <w:sz w:val="24"/>
          <w:szCs w:val="24"/>
        </w:rPr>
        <w:t>201</w:t>
      </w:r>
      <w:r w:rsidR="009D7115" w:rsidRPr="009D7115">
        <w:rPr>
          <w:sz w:val="24"/>
          <w:szCs w:val="24"/>
        </w:rPr>
        <w:t>8</w:t>
      </w:r>
      <w:r w:rsidR="00EB6360" w:rsidRPr="009D7115">
        <w:rPr>
          <w:sz w:val="24"/>
          <w:szCs w:val="24"/>
        </w:rPr>
        <w:t xml:space="preserve">: </w:t>
      </w:r>
      <w:r w:rsidRPr="009D7115">
        <w:rPr>
          <w:sz w:val="24"/>
          <w:szCs w:val="24"/>
        </w:rPr>
        <w:t xml:space="preserve">celkové náklady: </w:t>
      </w:r>
      <w:r w:rsidR="009D7115" w:rsidRPr="009D7115">
        <w:rPr>
          <w:sz w:val="24"/>
          <w:szCs w:val="24"/>
        </w:rPr>
        <w:t>560.317 tis.</w:t>
      </w:r>
      <w:r w:rsidR="009D7115">
        <w:rPr>
          <w:sz w:val="24"/>
          <w:szCs w:val="24"/>
        </w:rPr>
        <w:t xml:space="preserve"> </w:t>
      </w:r>
      <w:r w:rsidR="009D7115" w:rsidRPr="009D7115">
        <w:rPr>
          <w:sz w:val="24"/>
          <w:szCs w:val="24"/>
        </w:rPr>
        <w:t>Kč</w:t>
      </w:r>
      <w:r w:rsidRPr="009D7115">
        <w:rPr>
          <w:sz w:val="24"/>
          <w:szCs w:val="24"/>
        </w:rPr>
        <w:t xml:space="preserve">, celkové výnosy: </w:t>
      </w:r>
      <w:r w:rsidR="009D7115" w:rsidRPr="009D7115">
        <w:rPr>
          <w:sz w:val="24"/>
          <w:szCs w:val="24"/>
        </w:rPr>
        <w:t>544.598 tis. Kč</w:t>
      </w:r>
      <w:r w:rsidRPr="009D7115">
        <w:rPr>
          <w:sz w:val="24"/>
          <w:szCs w:val="24"/>
        </w:rPr>
        <w:t xml:space="preserve">, </w:t>
      </w:r>
      <w:r w:rsidR="009D7115" w:rsidRPr="009D7115">
        <w:rPr>
          <w:sz w:val="24"/>
          <w:szCs w:val="24"/>
        </w:rPr>
        <w:t xml:space="preserve">záporný </w:t>
      </w:r>
      <w:r w:rsidRPr="009D7115">
        <w:rPr>
          <w:sz w:val="24"/>
          <w:szCs w:val="24"/>
        </w:rPr>
        <w:t xml:space="preserve">hospodářský výsledek: </w:t>
      </w:r>
      <w:r w:rsidR="009D7115" w:rsidRPr="009D7115">
        <w:rPr>
          <w:sz w:val="24"/>
          <w:szCs w:val="24"/>
        </w:rPr>
        <w:t>-15.719 tis. Kč</w:t>
      </w:r>
      <w:r w:rsidR="00892D6F" w:rsidRPr="009D7115">
        <w:rPr>
          <w:sz w:val="24"/>
          <w:szCs w:val="24"/>
        </w:rPr>
        <w:t xml:space="preserve"> po zdanění</w:t>
      </w:r>
      <w:r w:rsidR="00E3078D" w:rsidRPr="009D7115">
        <w:rPr>
          <w:sz w:val="24"/>
          <w:szCs w:val="24"/>
        </w:rPr>
        <w:t>.</w:t>
      </w:r>
    </w:p>
    <w:p w:rsidR="003E148C" w:rsidRPr="003E148C" w:rsidRDefault="006D458F" w:rsidP="003E148C">
      <w:pPr>
        <w:jc w:val="both"/>
        <w:rPr>
          <w:sz w:val="24"/>
          <w:szCs w:val="24"/>
        </w:rPr>
      </w:pPr>
      <w:r w:rsidRPr="00A52233">
        <w:rPr>
          <w:sz w:val="24"/>
          <w:szCs w:val="24"/>
        </w:rPr>
        <w:lastRenderedPageBreak/>
        <w:t xml:space="preserve">Ke dni sestavení závěrečného účtu města Jilemnice </w:t>
      </w:r>
      <w:r w:rsidR="003E148C" w:rsidRPr="00A52233">
        <w:rPr>
          <w:sz w:val="24"/>
          <w:szCs w:val="24"/>
        </w:rPr>
        <w:t xml:space="preserve">projednalo představenstvo společnosti koncept zprávy nezávislého auditora za rok 2018 a navrhlo převést hospodářských výsledek běžného účetního </w:t>
      </w:r>
      <w:proofErr w:type="gramStart"/>
      <w:r w:rsidR="003E148C" w:rsidRPr="00A52233">
        <w:rPr>
          <w:sz w:val="24"/>
          <w:szCs w:val="24"/>
        </w:rPr>
        <w:t xml:space="preserve">období </w:t>
      </w:r>
      <w:r w:rsidR="00A52233" w:rsidRPr="00A52233">
        <w:rPr>
          <w:sz w:val="24"/>
          <w:szCs w:val="24"/>
        </w:rPr>
        <w:t xml:space="preserve"> </w:t>
      </w:r>
      <w:r w:rsidR="003E148C" w:rsidRPr="00A52233">
        <w:rPr>
          <w:sz w:val="24"/>
          <w:szCs w:val="24"/>
        </w:rPr>
        <w:t>(účet</w:t>
      </w:r>
      <w:proofErr w:type="gramEnd"/>
      <w:r w:rsidR="003E148C" w:rsidRPr="00A52233">
        <w:rPr>
          <w:sz w:val="24"/>
          <w:szCs w:val="24"/>
        </w:rPr>
        <w:t xml:space="preserve"> 431) na účet 429 „Neuhrazená ztráta minulých let“.</w:t>
      </w:r>
      <w:r w:rsidR="003E148C" w:rsidRPr="003E148C">
        <w:rPr>
          <w:sz w:val="24"/>
          <w:szCs w:val="24"/>
        </w:rPr>
        <w:t xml:space="preserve"> </w:t>
      </w:r>
    </w:p>
    <w:p w:rsidR="0020401C" w:rsidRPr="003E148C" w:rsidRDefault="0020401C" w:rsidP="00430EC3">
      <w:pPr>
        <w:jc w:val="both"/>
        <w:rPr>
          <w:sz w:val="24"/>
          <w:szCs w:val="24"/>
        </w:rPr>
      </w:pPr>
    </w:p>
    <w:p w:rsidR="00A46152" w:rsidRPr="007301B6" w:rsidRDefault="00C462A3" w:rsidP="00430EC3">
      <w:pPr>
        <w:jc w:val="both"/>
        <w:rPr>
          <w:b/>
          <w:sz w:val="24"/>
          <w:szCs w:val="24"/>
        </w:rPr>
      </w:pPr>
      <w:r w:rsidRPr="007301B6">
        <w:rPr>
          <w:b/>
          <w:sz w:val="24"/>
          <w:szCs w:val="24"/>
        </w:rPr>
        <w:t>b</w:t>
      </w:r>
      <w:r w:rsidR="00A46152" w:rsidRPr="007301B6">
        <w:rPr>
          <w:b/>
          <w:sz w:val="24"/>
          <w:szCs w:val="24"/>
        </w:rPr>
        <w:t>) Sportovní centrum Jilemnice, s.</w:t>
      </w:r>
      <w:r w:rsidR="00C466B1" w:rsidRPr="007301B6">
        <w:rPr>
          <w:b/>
          <w:sz w:val="24"/>
          <w:szCs w:val="24"/>
        </w:rPr>
        <w:t xml:space="preserve"> </w:t>
      </w:r>
      <w:r w:rsidR="00A46152" w:rsidRPr="007301B6">
        <w:rPr>
          <w:b/>
          <w:sz w:val="24"/>
          <w:szCs w:val="24"/>
        </w:rPr>
        <w:t>r.</w:t>
      </w:r>
      <w:r w:rsidR="00C466B1" w:rsidRPr="007301B6">
        <w:rPr>
          <w:b/>
          <w:sz w:val="24"/>
          <w:szCs w:val="24"/>
        </w:rPr>
        <w:t xml:space="preserve"> </w:t>
      </w:r>
      <w:r w:rsidR="00A46152" w:rsidRPr="007301B6">
        <w:rPr>
          <w:b/>
          <w:sz w:val="24"/>
          <w:szCs w:val="24"/>
        </w:rPr>
        <w:t>o</w:t>
      </w:r>
      <w:r w:rsidR="00C466B1" w:rsidRPr="007301B6">
        <w:rPr>
          <w:b/>
          <w:sz w:val="24"/>
          <w:szCs w:val="24"/>
        </w:rPr>
        <w:t>.</w:t>
      </w:r>
      <w:r w:rsidR="00B9413F">
        <w:rPr>
          <w:b/>
          <w:sz w:val="24"/>
          <w:szCs w:val="24"/>
        </w:rPr>
        <w:t>,</w:t>
      </w:r>
      <w:r w:rsidR="00B00B6C">
        <w:rPr>
          <w:b/>
          <w:sz w:val="24"/>
          <w:szCs w:val="24"/>
        </w:rPr>
        <w:t xml:space="preserve"> IČO 05769370,</w:t>
      </w:r>
      <w:r w:rsidR="00B9413F">
        <w:rPr>
          <w:b/>
          <w:sz w:val="24"/>
          <w:szCs w:val="24"/>
        </w:rPr>
        <w:t xml:space="preserve"> </w:t>
      </w:r>
      <w:r w:rsidR="00B00B6C">
        <w:rPr>
          <w:b/>
          <w:sz w:val="24"/>
          <w:szCs w:val="24"/>
        </w:rPr>
        <w:t>Jungmannova 146, Jilemnice</w:t>
      </w:r>
    </w:p>
    <w:p w:rsidR="008B05EC" w:rsidRPr="007301B6" w:rsidRDefault="00B81E1E" w:rsidP="00430EC3">
      <w:pPr>
        <w:jc w:val="both"/>
        <w:rPr>
          <w:sz w:val="24"/>
          <w:szCs w:val="24"/>
        </w:rPr>
      </w:pPr>
      <w:r w:rsidRPr="007301B6">
        <w:rPr>
          <w:sz w:val="24"/>
          <w:szCs w:val="24"/>
        </w:rPr>
        <w:t>Základní kapitál činí k 31.12.201</w:t>
      </w:r>
      <w:r w:rsidR="00775869" w:rsidRPr="007301B6">
        <w:rPr>
          <w:sz w:val="24"/>
          <w:szCs w:val="24"/>
        </w:rPr>
        <w:t>8</w:t>
      </w:r>
      <w:r w:rsidRPr="007301B6">
        <w:rPr>
          <w:sz w:val="24"/>
          <w:szCs w:val="24"/>
        </w:rPr>
        <w:t xml:space="preserve"> 57.420.820,- Kč. </w:t>
      </w:r>
      <w:r w:rsidR="00775869" w:rsidRPr="007301B6">
        <w:rPr>
          <w:sz w:val="24"/>
          <w:szCs w:val="24"/>
        </w:rPr>
        <w:t xml:space="preserve">V roce 2018 splatilo město pohledávku za upsaný základní kapitál v částce 2.800.000,- Kč a poskytlo příplatek mimo základní kapitál ve výši </w:t>
      </w:r>
      <w:r w:rsidR="007301B6" w:rsidRPr="007301B6">
        <w:rPr>
          <w:sz w:val="24"/>
          <w:szCs w:val="24"/>
        </w:rPr>
        <w:t>4.262.090,-</w:t>
      </w:r>
      <w:r w:rsidR="00775869" w:rsidRPr="007301B6">
        <w:rPr>
          <w:sz w:val="24"/>
          <w:szCs w:val="24"/>
        </w:rPr>
        <w:t xml:space="preserve">Kč. </w:t>
      </w:r>
      <w:r w:rsidR="008B05EC" w:rsidRPr="007301B6">
        <w:rPr>
          <w:sz w:val="24"/>
          <w:szCs w:val="24"/>
        </w:rPr>
        <w:t>V roce 201</w:t>
      </w:r>
      <w:r w:rsidR="00775869" w:rsidRPr="007301B6">
        <w:rPr>
          <w:sz w:val="24"/>
          <w:szCs w:val="24"/>
        </w:rPr>
        <w:t xml:space="preserve">8 </w:t>
      </w:r>
      <w:r w:rsidR="008B05EC" w:rsidRPr="007301B6">
        <w:rPr>
          <w:sz w:val="24"/>
          <w:szCs w:val="24"/>
        </w:rPr>
        <w:t xml:space="preserve">poskytlo město Jilemnice společnosti vyrovnávací platbu ve výši </w:t>
      </w:r>
      <w:r w:rsidR="00775869" w:rsidRPr="007301B6">
        <w:rPr>
          <w:sz w:val="24"/>
          <w:szCs w:val="24"/>
        </w:rPr>
        <w:t>3.450.000</w:t>
      </w:r>
      <w:r w:rsidR="008B05EC" w:rsidRPr="007301B6">
        <w:rPr>
          <w:sz w:val="24"/>
          <w:szCs w:val="24"/>
        </w:rPr>
        <w:t xml:space="preserve">,- Kč. </w:t>
      </w:r>
    </w:p>
    <w:p w:rsidR="008B05EC" w:rsidRPr="007301B6" w:rsidRDefault="008B05EC" w:rsidP="00430EC3">
      <w:pPr>
        <w:jc w:val="both"/>
        <w:rPr>
          <w:sz w:val="24"/>
          <w:szCs w:val="24"/>
        </w:rPr>
      </w:pPr>
      <w:r w:rsidRPr="007301B6">
        <w:rPr>
          <w:sz w:val="24"/>
          <w:szCs w:val="24"/>
        </w:rPr>
        <w:t>Vykázaný výsledek hospodaření k 31. 12. 201</w:t>
      </w:r>
      <w:r w:rsidR="007301B6" w:rsidRPr="007301B6">
        <w:rPr>
          <w:sz w:val="24"/>
          <w:szCs w:val="24"/>
        </w:rPr>
        <w:t>8</w:t>
      </w:r>
      <w:r w:rsidRPr="007301B6">
        <w:rPr>
          <w:sz w:val="24"/>
          <w:szCs w:val="24"/>
        </w:rPr>
        <w:t xml:space="preserve">: celkové náklady: </w:t>
      </w:r>
      <w:r w:rsidR="007301B6" w:rsidRPr="007301B6">
        <w:rPr>
          <w:sz w:val="24"/>
          <w:szCs w:val="24"/>
        </w:rPr>
        <w:t>13.235.613,39</w:t>
      </w:r>
      <w:r w:rsidRPr="007301B6">
        <w:rPr>
          <w:sz w:val="24"/>
          <w:szCs w:val="24"/>
        </w:rPr>
        <w:t xml:space="preserve"> Kč, celkové výnosy: </w:t>
      </w:r>
      <w:r w:rsidR="007301B6" w:rsidRPr="007301B6">
        <w:rPr>
          <w:sz w:val="24"/>
          <w:szCs w:val="24"/>
        </w:rPr>
        <w:t>10.928.718,28</w:t>
      </w:r>
      <w:r w:rsidRPr="007301B6">
        <w:rPr>
          <w:sz w:val="24"/>
          <w:szCs w:val="24"/>
        </w:rPr>
        <w:t xml:space="preserve">, záporný hospodářský výsledek: - </w:t>
      </w:r>
      <w:r w:rsidR="007301B6" w:rsidRPr="007301B6">
        <w:rPr>
          <w:sz w:val="24"/>
          <w:szCs w:val="24"/>
        </w:rPr>
        <w:t>2.306.895,11</w:t>
      </w:r>
      <w:r w:rsidRPr="007301B6">
        <w:rPr>
          <w:sz w:val="24"/>
          <w:szCs w:val="24"/>
        </w:rPr>
        <w:t xml:space="preserve"> Kč</w:t>
      </w:r>
      <w:r w:rsidR="00B81E1E" w:rsidRPr="007301B6">
        <w:rPr>
          <w:sz w:val="24"/>
          <w:szCs w:val="24"/>
        </w:rPr>
        <w:t xml:space="preserve">. Tato ztráta byla rozhodnutím valné hromady dne </w:t>
      </w:r>
      <w:r w:rsidR="007301B6" w:rsidRPr="007301B6">
        <w:rPr>
          <w:sz w:val="24"/>
          <w:szCs w:val="24"/>
        </w:rPr>
        <w:t>13. 3. 2019</w:t>
      </w:r>
      <w:r w:rsidR="00B81E1E" w:rsidRPr="007301B6">
        <w:rPr>
          <w:sz w:val="24"/>
          <w:szCs w:val="24"/>
        </w:rPr>
        <w:t xml:space="preserve"> převedena na účet neuhrazené ztráty z minulých let.</w:t>
      </w:r>
    </w:p>
    <w:p w:rsidR="00603232" w:rsidRPr="002015EA" w:rsidRDefault="00603232" w:rsidP="00430EC3">
      <w:pPr>
        <w:jc w:val="both"/>
        <w:rPr>
          <w:sz w:val="24"/>
          <w:szCs w:val="24"/>
          <w:highlight w:val="yellow"/>
        </w:rPr>
      </w:pPr>
    </w:p>
    <w:p w:rsidR="00A46152" w:rsidRPr="00775869" w:rsidRDefault="00C462A3" w:rsidP="003076FB">
      <w:pPr>
        <w:rPr>
          <w:b/>
          <w:sz w:val="24"/>
          <w:szCs w:val="24"/>
        </w:rPr>
      </w:pPr>
      <w:r w:rsidRPr="00775869">
        <w:rPr>
          <w:b/>
          <w:sz w:val="24"/>
          <w:szCs w:val="24"/>
        </w:rPr>
        <w:t>c</w:t>
      </w:r>
      <w:r w:rsidR="00A46152" w:rsidRPr="00775869">
        <w:rPr>
          <w:b/>
          <w:sz w:val="24"/>
          <w:szCs w:val="24"/>
        </w:rPr>
        <w:t>) Zásobování teplem, s.</w:t>
      </w:r>
      <w:r w:rsidR="00C466B1" w:rsidRPr="00775869">
        <w:rPr>
          <w:b/>
          <w:sz w:val="24"/>
          <w:szCs w:val="24"/>
        </w:rPr>
        <w:t xml:space="preserve"> </w:t>
      </w:r>
      <w:r w:rsidR="00A46152" w:rsidRPr="00775869">
        <w:rPr>
          <w:b/>
          <w:sz w:val="24"/>
          <w:szCs w:val="24"/>
        </w:rPr>
        <w:t>r.</w:t>
      </w:r>
      <w:r w:rsidR="00C466B1" w:rsidRPr="00775869">
        <w:rPr>
          <w:b/>
          <w:sz w:val="24"/>
          <w:szCs w:val="24"/>
        </w:rPr>
        <w:t xml:space="preserve"> </w:t>
      </w:r>
      <w:r w:rsidR="00A46152" w:rsidRPr="00775869">
        <w:rPr>
          <w:b/>
          <w:sz w:val="24"/>
          <w:szCs w:val="24"/>
        </w:rPr>
        <w:t>o</w:t>
      </w:r>
      <w:r w:rsidR="00C466B1" w:rsidRPr="00775869">
        <w:rPr>
          <w:b/>
          <w:sz w:val="24"/>
          <w:szCs w:val="24"/>
        </w:rPr>
        <w:t xml:space="preserve">., </w:t>
      </w:r>
      <w:r w:rsidR="00D148D2" w:rsidRPr="00775869">
        <w:rPr>
          <w:b/>
          <w:sz w:val="24"/>
          <w:szCs w:val="24"/>
        </w:rPr>
        <w:t xml:space="preserve"> IČO 25281542, Jana Weisse 1219, Jilemnice</w:t>
      </w:r>
    </w:p>
    <w:p w:rsidR="00830A9E" w:rsidRPr="00775869" w:rsidRDefault="00830A9E" w:rsidP="003076FB">
      <w:pPr>
        <w:rPr>
          <w:sz w:val="24"/>
          <w:szCs w:val="24"/>
        </w:rPr>
      </w:pPr>
      <w:r w:rsidRPr="00775869">
        <w:rPr>
          <w:sz w:val="24"/>
          <w:szCs w:val="24"/>
        </w:rPr>
        <w:t>Vykázaný výsledek hospodaření k 31.</w:t>
      </w:r>
      <w:r w:rsidR="00C466B1" w:rsidRPr="00775869">
        <w:rPr>
          <w:sz w:val="24"/>
          <w:szCs w:val="24"/>
        </w:rPr>
        <w:t xml:space="preserve"> </w:t>
      </w:r>
      <w:r w:rsidRPr="00775869">
        <w:rPr>
          <w:sz w:val="24"/>
          <w:szCs w:val="24"/>
        </w:rPr>
        <w:t>12.</w:t>
      </w:r>
      <w:r w:rsidR="00C466B1" w:rsidRPr="00775869">
        <w:rPr>
          <w:sz w:val="24"/>
          <w:szCs w:val="24"/>
        </w:rPr>
        <w:t xml:space="preserve"> </w:t>
      </w:r>
      <w:r w:rsidRPr="00775869">
        <w:rPr>
          <w:sz w:val="24"/>
          <w:szCs w:val="24"/>
        </w:rPr>
        <w:t>201</w:t>
      </w:r>
      <w:r w:rsidR="00775869" w:rsidRPr="00775869">
        <w:rPr>
          <w:sz w:val="24"/>
          <w:szCs w:val="24"/>
        </w:rPr>
        <w:t>8</w:t>
      </w:r>
      <w:r w:rsidRPr="00775869">
        <w:rPr>
          <w:sz w:val="24"/>
          <w:szCs w:val="24"/>
        </w:rPr>
        <w:t xml:space="preserve">: </w:t>
      </w:r>
      <w:r w:rsidR="00884D64" w:rsidRPr="00775869">
        <w:rPr>
          <w:sz w:val="24"/>
          <w:szCs w:val="24"/>
        </w:rPr>
        <w:t xml:space="preserve">celkové náklady: </w:t>
      </w:r>
      <w:r w:rsidR="00775869" w:rsidRPr="00775869">
        <w:rPr>
          <w:sz w:val="24"/>
          <w:szCs w:val="24"/>
        </w:rPr>
        <w:t>14.184.128,53</w:t>
      </w:r>
      <w:r w:rsidR="00A50C9B" w:rsidRPr="00775869">
        <w:rPr>
          <w:sz w:val="24"/>
          <w:szCs w:val="24"/>
        </w:rPr>
        <w:t xml:space="preserve"> </w:t>
      </w:r>
      <w:r w:rsidR="00884D64" w:rsidRPr="00775869">
        <w:rPr>
          <w:sz w:val="24"/>
          <w:szCs w:val="24"/>
        </w:rPr>
        <w:t xml:space="preserve">Kč, celkové výnosy: </w:t>
      </w:r>
      <w:r w:rsidR="00775869" w:rsidRPr="00775869">
        <w:rPr>
          <w:sz w:val="24"/>
          <w:szCs w:val="24"/>
        </w:rPr>
        <w:t>14.449.854,52</w:t>
      </w:r>
      <w:r w:rsidR="00884D64" w:rsidRPr="00775869">
        <w:rPr>
          <w:sz w:val="24"/>
          <w:szCs w:val="24"/>
        </w:rPr>
        <w:t xml:space="preserve"> Kč, kladný hospodářský výsledek: </w:t>
      </w:r>
      <w:r w:rsidR="00775869" w:rsidRPr="00775869">
        <w:rPr>
          <w:sz w:val="24"/>
          <w:szCs w:val="24"/>
        </w:rPr>
        <w:t>265.726,17</w:t>
      </w:r>
      <w:r w:rsidRPr="00775869">
        <w:rPr>
          <w:sz w:val="24"/>
          <w:szCs w:val="24"/>
        </w:rPr>
        <w:t xml:space="preserve"> Kč</w:t>
      </w:r>
    </w:p>
    <w:p w:rsidR="00830A9E" w:rsidRPr="00072638" w:rsidRDefault="00830A9E" w:rsidP="003076FB">
      <w:pPr>
        <w:rPr>
          <w:sz w:val="24"/>
          <w:szCs w:val="24"/>
        </w:rPr>
      </w:pPr>
      <w:r w:rsidRPr="00072638">
        <w:rPr>
          <w:sz w:val="24"/>
          <w:szCs w:val="24"/>
        </w:rPr>
        <w:t>Valná hromada společnosti</w:t>
      </w:r>
      <w:r w:rsidR="00A50C9B" w:rsidRPr="00072638">
        <w:rPr>
          <w:sz w:val="24"/>
          <w:szCs w:val="24"/>
        </w:rPr>
        <w:t xml:space="preserve"> </w:t>
      </w:r>
      <w:r w:rsidR="00601444" w:rsidRPr="00072638">
        <w:rPr>
          <w:sz w:val="24"/>
          <w:szCs w:val="24"/>
        </w:rPr>
        <w:t xml:space="preserve">rozhodla o jeho </w:t>
      </w:r>
      <w:r w:rsidRPr="00072638">
        <w:rPr>
          <w:sz w:val="24"/>
          <w:szCs w:val="24"/>
        </w:rPr>
        <w:t xml:space="preserve">rozdělení </w:t>
      </w:r>
      <w:r w:rsidR="00A50C9B" w:rsidRPr="00072638">
        <w:rPr>
          <w:sz w:val="24"/>
          <w:szCs w:val="24"/>
        </w:rPr>
        <w:t xml:space="preserve">dne </w:t>
      </w:r>
      <w:r w:rsidR="00072638" w:rsidRPr="00072638">
        <w:rPr>
          <w:sz w:val="24"/>
          <w:szCs w:val="24"/>
        </w:rPr>
        <w:t>15. 5. 2019</w:t>
      </w:r>
      <w:r w:rsidR="00E3078D" w:rsidRPr="00072638">
        <w:rPr>
          <w:sz w:val="24"/>
          <w:szCs w:val="24"/>
        </w:rPr>
        <w:t xml:space="preserve"> takto</w:t>
      </w:r>
      <w:r w:rsidRPr="00072638">
        <w:rPr>
          <w:sz w:val="24"/>
          <w:szCs w:val="24"/>
        </w:rPr>
        <w:t xml:space="preserve">: </w:t>
      </w:r>
    </w:p>
    <w:p w:rsidR="00830A9E" w:rsidRPr="00072638" w:rsidRDefault="00830A9E" w:rsidP="003076FB">
      <w:pPr>
        <w:rPr>
          <w:sz w:val="24"/>
          <w:szCs w:val="24"/>
        </w:rPr>
      </w:pPr>
      <w:r w:rsidRPr="00072638">
        <w:rPr>
          <w:sz w:val="24"/>
          <w:szCs w:val="24"/>
        </w:rPr>
        <w:tab/>
        <w:t xml:space="preserve">Do fondu sociálního:    </w:t>
      </w:r>
      <w:r w:rsidR="00072638" w:rsidRPr="00072638">
        <w:rPr>
          <w:sz w:val="24"/>
          <w:szCs w:val="24"/>
        </w:rPr>
        <w:t>28.900</w:t>
      </w:r>
      <w:r w:rsidRPr="00072638">
        <w:rPr>
          <w:sz w:val="24"/>
          <w:szCs w:val="24"/>
        </w:rPr>
        <w:t>,</w:t>
      </w:r>
      <w:r w:rsidR="00A50C9B" w:rsidRPr="00072638">
        <w:rPr>
          <w:sz w:val="24"/>
          <w:szCs w:val="24"/>
        </w:rPr>
        <w:t xml:space="preserve">00 </w:t>
      </w:r>
      <w:r w:rsidRPr="00072638">
        <w:rPr>
          <w:sz w:val="24"/>
          <w:szCs w:val="24"/>
        </w:rPr>
        <w:t>Kč</w:t>
      </w:r>
    </w:p>
    <w:p w:rsidR="00830A9E" w:rsidRPr="00072638" w:rsidRDefault="00830A9E" w:rsidP="003076FB">
      <w:pPr>
        <w:rPr>
          <w:sz w:val="24"/>
          <w:szCs w:val="24"/>
        </w:rPr>
      </w:pPr>
      <w:r w:rsidRPr="00072638">
        <w:rPr>
          <w:sz w:val="24"/>
          <w:szCs w:val="24"/>
        </w:rPr>
        <w:tab/>
        <w:t>Do fondu rozvoje:</w:t>
      </w:r>
      <w:r w:rsidRPr="00072638">
        <w:rPr>
          <w:sz w:val="24"/>
          <w:szCs w:val="24"/>
        </w:rPr>
        <w:tab/>
      </w:r>
      <w:r w:rsidR="00072638" w:rsidRPr="00072638">
        <w:rPr>
          <w:sz w:val="24"/>
          <w:szCs w:val="24"/>
        </w:rPr>
        <w:t>236.826,17</w:t>
      </w:r>
      <w:r w:rsidR="00A50C9B" w:rsidRPr="00072638">
        <w:rPr>
          <w:sz w:val="24"/>
          <w:szCs w:val="24"/>
        </w:rPr>
        <w:t xml:space="preserve"> </w:t>
      </w:r>
      <w:r w:rsidRPr="00072638">
        <w:rPr>
          <w:sz w:val="24"/>
          <w:szCs w:val="24"/>
        </w:rPr>
        <w:t>Kč</w:t>
      </w:r>
    </w:p>
    <w:p w:rsidR="00830A9E" w:rsidRPr="00072638" w:rsidRDefault="00830A9E" w:rsidP="003076FB">
      <w:pPr>
        <w:rPr>
          <w:sz w:val="24"/>
          <w:szCs w:val="24"/>
        </w:rPr>
      </w:pPr>
      <w:r w:rsidRPr="00072638">
        <w:rPr>
          <w:sz w:val="24"/>
          <w:szCs w:val="24"/>
        </w:rPr>
        <w:tab/>
        <w:t>Celkem:</w:t>
      </w:r>
      <w:r w:rsidRPr="00072638">
        <w:rPr>
          <w:sz w:val="24"/>
          <w:szCs w:val="24"/>
        </w:rPr>
        <w:tab/>
      </w:r>
      <w:r w:rsidRPr="00072638">
        <w:rPr>
          <w:sz w:val="24"/>
          <w:szCs w:val="24"/>
        </w:rPr>
        <w:tab/>
      </w:r>
      <w:r w:rsidR="00072638" w:rsidRPr="00072638">
        <w:rPr>
          <w:sz w:val="24"/>
          <w:szCs w:val="24"/>
        </w:rPr>
        <w:t>265.726,17</w:t>
      </w:r>
      <w:r w:rsidR="00A50C9B" w:rsidRPr="00072638">
        <w:rPr>
          <w:sz w:val="24"/>
          <w:szCs w:val="24"/>
        </w:rPr>
        <w:t xml:space="preserve"> </w:t>
      </w:r>
      <w:r w:rsidRPr="00072638">
        <w:rPr>
          <w:sz w:val="24"/>
          <w:szCs w:val="24"/>
        </w:rPr>
        <w:t>Kč</w:t>
      </w:r>
    </w:p>
    <w:p w:rsidR="003076FB" w:rsidRDefault="003076FB" w:rsidP="003076FB">
      <w:pPr>
        <w:ind w:left="644"/>
        <w:rPr>
          <w:b/>
          <w:sz w:val="24"/>
          <w:szCs w:val="24"/>
        </w:rPr>
      </w:pPr>
    </w:p>
    <w:p w:rsidR="00131904" w:rsidRPr="004045E7" w:rsidRDefault="00B929EA" w:rsidP="00B929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5) </w:t>
      </w:r>
      <w:r w:rsidR="00131904" w:rsidRPr="00947A68">
        <w:rPr>
          <w:b/>
          <w:sz w:val="24"/>
          <w:szCs w:val="24"/>
        </w:rPr>
        <w:t>Vyúčtování finančních vztahů k</w:t>
      </w:r>
      <w:r w:rsidR="00131904" w:rsidRPr="004045E7">
        <w:rPr>
          <w:b/>
          <w:sz w:val="24"/>
          <w:szCs w:val="24"/>
        </w:rPr>
        <w:t>e státnímu rozpočtu a ost</w:t>
      </w:r>
      <w:r w:rsidR="00F70B2D">
        <w:rPr>
          <w:b/>
          <w:sz w:val="24"/>
          <w:szCs w:val="24"/>
        </w:rPr>
        <w:t>atním</w:t>
      </w:r>
      <w:r w:rsidR="00131904" w:rsidRPr="004045E7">
        <w:rPr>
          <w:b/>
          <w:sz w:val="24"/>
          <w:szCs w:val="24"/>
        </w:rPr>
        <w:t xml:space="preserve"> rozpočtům veřejné úrovně</w:t>
      </w:r>
    </w:p>
    <w:p w:rsidR="00C462A3" w:rsidRDefault="00522E21" w:rsidP="00B929EA">
      <w:pPr>
        <w:pStyle w:val="Zkladntext2"/>
        <w:jc w:val="both"/>
        <w:rPr>
          <w:szCs w:val="24"/>
        </w:rPr>
      </w:pPr>
      <w:r w:rsidRPr="00C462A3">
        <w:rPr>
          <w:b/>
          <w:szCs w:val="24"/>
        </w:rPr>
        <w:t>a) Přijaté dotace a transfery:</w:t>
      </w:r>
      <w:r w:rsidRPr="00522E21">
        <w:rPr>
          <w:szCs w:val="24"/>
        </w:rPr>
        <w:t xml:space="preserve"> </w:t>
      </w:r>
    </w:p>
    <w:p w:rsidR="00843029" w:rsidRPr="00F53A35" w:rsidRDefault="00131904" w:rsidP="00B929EA">
      <w:pPr>
        <w:pStyle w:val="Zkladntext2"/>
        <w:jc w:val="both"/>
        <w:rPr>
          <w:szCs w:val="24"/>
        </w:rPr>
      </w:pPr>
      <w:r w:rsidRPr="00F53A35">
        <w:rPr>
          <w:szCs w:val="24"/>
        </w:rPr>
        <w:t xml:space="preserve">Dotace do rozpočtu města za rok </w:t>
      </w:r>
      <w:r w:rsidR="00C02095" w:rsidRPr="00F53A35">
        <w:rPr>
          <w:szCs w:val="24"/>
        </w:rPr>
        <w:t>20</w:t>
      </w:r>
      <w:r w:rsidR="002E7723" w:rsidRPr="00F53A35">
        <w:rPr>
          <w:szCs w:val="24"/>
        </w:rPr>
        <w:t>1</w:t>
      </w:r>
      <w:r w:rsidR="008D76E0" w:rsidRPr="00F53A35">
        <w:rPr>
          <w:szCs w:val="24"/>
        </w:rPr>
        <w:t>8</w:t>
      </w:r>
      <w:r w:rsidR="000967DC" w:rsidRPr="00F53A35">
        <w:rPr>
          <w:szCs w:val="24"/>
        </w:rPr>
        <w:t xml:space="preserve"> </w:t>
      </w:r>
      <w:r w:rsidRPr="00F53A35">
        <w:rPr>
          <w:szCs w:val="24"/>
        </w:rPr>
        <w:t xml:space="preserve">činily celkem </w:t>
      </w:r>
      <w:r w:rsidR="008D76E0" w:rsidRPr="00F53A35">
        <w:rPr>
          <w:szCs w:val="24"/>
        </w:rPr>
        <w:t>58.635</w:t>
      </w:r>
      <w:r w:rsidR="004A0BD8" w:rsidRPr="00F53A35">
        <w:rPr>
          <w:szCs w:val="24"/>
        </w:rPr>
        <w:t xml:space="preserve"> tis.</w:t>
      </w:r>
      <w:r w:rsidR="005E467E" w:rsidRPr="00F53A35">
        <w:rPr>
          <w:szCs w:val="24"/>
        </w:rPr>
        <w:t xml:space="preserve"> </w:t>
      </w:r>
      <w:r w:rsidR="004A0BD8" w:rsidRPr="00F53A35">
        <w:rPr>
          <w:szCs w:val="24"/>
        </w:rPr>
        <w:t>Kč</w:t>
      </w:r>
      <w:r w:rsidR="001C7B95" w:rsidRPr="00F53A35">
        <w:rPr>
          <w:szCs w:val="24"/>
        </w:rPr>
        <w:t xml:space="preserve">, z toho neinvestiční </w:t>
      </w:r>
      <w:r w:rsidR="008D76E0" w:rsidRPr="00F53A35">
        <w:rPr>
          <w:szCs w:val="24"/>
        </w:rPr>
        <w:t>38.449</w:t>
      </w:r>
      <w:r w:rsidR="001C7B95" w:rsidRPr="00F53A35">
        <w:rPr>
          <w:szCs w:val="24"/>
        </w:rPr>
        <w:t xml:space="preserve"> tis. Kč, investiční </w:t>
      </w:r>
      <w:r w:rsidR="00F53A35" w:rsidRPr="00F53A35">
        <w:rPr>
          <w:szCs w:val="24"/>
        </w:rPr>
        <w:t>20.186</w:t>
      </w:r>
      <w:r w:rsidR="001C7B95" w:rsidRPr="00F53A35">
        <w:rPr>
          <w:szCs w:val="24"/>
        </w:rPr>
        <w:t xml:space="preserve"> tis. Kč</w:t>
      </w:r>
      <w:r w:rsidR="004A0BD8" w:rsidRPr="00F53A35">
        <w:rPr>
          <w:szCs w:val="24"/>
        </w:rPr>
        <w:t xml:space="preserve">. </w:t>
      </w:r>
      <w:r w:rsidR="00106D3A" w:rsidRPr="00F53A35">
        <w:rPr>
          <w:szCs w:val="24"/>
        </w:rPr>
        <w:t>Přehled obdržených transferů a dotací podle způsobů vypořá</w:t>
      </w:r>
      <w:r w:rsidR="00731C3D" w:rsidRPr="00F53A35">
        <w:rPr>
          <w:szCs w:val="24"/>
        </w:rPr>
        <w:t xml:space="preserve">dání uvádí následující tabulka. </w:t>
      </w:r>
    </w:p>
    <w:p w:rsidR="006172E5" w:rsidRPr="00522E21" w:rsidRDefault="004A0BD8" w:rsidP="00665DB7">
      <w:pPr>
        <w:ind w:firstLine="360"/>
        <w:jc w:val="both"/>
        <w:rPr>
          <w:sz w:val="24"/>
          <w:szCs w:val="24"/>
        </w:rPr>
      </w:pPr>
      <w:r w:rsidRPr="00F53A35">
        <w:rPr>
          <w:sz w:val="24"/>
          <w:szCs w:val="24"/>
        </w:rPr>
        <w:t>Všechny d</w:t>
      </w:r>
      <w:r w:rsidR="00131904" w:rsidRPr="00F53A35">
        <w:rPr>
          <w:sz w:val="24"/>
          <w:szCs w:val="24"/>
        </w:rPr>
        <w:t>otace</w:t>
      </w:r>
      <w:r w:rsidR="006F20E6" w:rsidRPr="00F53A35">
        <w:rPr>
          <w:sz w:val="24"/>
          <w:szCs w:val="24"/>
        </w:rPr>
        <w:t xml:space="preserve">, u kterých je povinnost ročního finančního vypořádání, </w:t>
      </w:r>
      <w:r w:rsidR="000967DC" w:rsidRPr="00F53A35">
        <w:rPr>
          <w:sz w:val="24"/>
          <w:szCs w:val="24"/>
        </w:rPr>
        <w:t xml:space="preserve">byly řádně vyúčtovány. </w:t>
      </w:r>
      <w:r w:rsidR="00252EC8" w:rsidRPr="00F53A35">
        <w:rPr>
          <w:sz w:val="24"/>
          <w:szCs w:val="24"/>
        </w:rPr>
        <w:t>Projekty spolufina</w:t>
      </w:r>
      <w:r w:rsidR="00106D3A" w:rsidRPr="00F53A35">
        <w:rPr>
          <w:sz w:val="24"/>
          <w:szCs w:val="24"/>
        </w:rPr>
        <w:t xml:space="preserve">ncované z EU jsou vyúčtovávány </w:t>
      </w:r>
      <w:r w:rsidR="00252EC8" w:rsidRPr="00F53A35">
        <w:rPr>
          <w:sz w:val="24"/>
          <w:szCs w:val="24"/>
        </w:rPr>
        <w:t>podle pravidel každého projektu</w:t>
      </w:r>
      <w:r w:rsidR="008B7995" w:rsidRPr="00F53A35">
        <w:rPr>
          <w:sz w:val="24"/>
          <w:szCs w:val="24"/>
        </w:rPr>
        <w:t>, stejně tak dotace z Libereckého kraje</w:t>
      </w:r>
      <w:r w:rsidR="00252EC8" w:rsidRPr="00F53A35">
        <w:rPr>
          <w:sz w:val="24"/>
          <w:szCs w:val="24"/>
        </w:rPr>
        <w:t>.</w:t>
      </w:r>
      <w:r w:rsidR="00252EC8" w:rsidRPr="00522E21">
        <w:rPr>
          <w:sz w:val="24"/>
          <w:szCs w:val="24"/>
        </w:rPr>
        <w:t xml:space="preserve"> </w:t>
      </w:r>
    </w:p>
    <w:p w:rsidR="0007337F" w:rsidRDefault="0007337F" w:rsidP="00665DB7">
      <w:pPr>
        <w:ind w:firstLine="360"/>
        <w:jc w:val="both"/>
        <w:rPr>
          <w:sz w:val="24"/>
          <w:szCs w:val="24"/>
        </w:rPr>
      </w:pPr>
    </w:p>
    <w:tbl>
      <w:tblPr>
        <w:tblW w:w="9268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5"/>
        <w:gridCol w:w="1182"/>
        <w:gridCol w:w="960"/>
        <w:gridCol w:w="977"/>
        <w:gridCol w:w="894"/>
      </w:tblGrid>
      <w:tr w:rsidR="00696131" w:rsidRPr="003E57FF" w:rsidTr="007A17E3">
        <w:trPr>
          <w:trHeight w:val="315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 w:rsidP="002015EA">
            <w:pPr>
              <w:rPr>
                <w:rFonts w:ascii="Arial" w:hAnsi="Arial" w:cs="Arial"/>
                <w:b/>
                <w:bCs/>
                <w:color w:val="000000"/>
              </w:rPr>
            </w:pPr>
            <w:bookmarkStart w:id="0" w:name="RANGE!D1:H35"/>
            <w:r>
              <w:rPr>
                <w:rFonts w:ascii="Arial" w:hAnsi="Arial" w:cs="Arial"/>
                <w:b/>
                <w:bCs/>
                <w:color w:val="000000"/>
              </w:rPr>
              <w:t xml:space="preserve">Obdržené transfery a dotace 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roce  201</w:t>
            </w:r>
            <w:r w:rsidR="002015EA">
              <w:rPr>
                <w:rFonts w:ascii="Arial" w:hAnsi="Arial" w:cs="Arial"/>
                <w:b/>
                <w:bCs/>
                <w:color w:val="000000"/>
              </w:rPr>
              <w:t>8</w:t>
            </w:r>
            <w:bookmarkEnd w:id="0"/>
            <w:proofErr w:type="gramEnd"/>
            <w:r w:rsidR="00A50C9B">
              <w:rPr>
                <w:rFonts w:ascii="Arial" w:hAnsi="Arial" w:cs="Arial"/>
                <w:b/>
                <w:bCs/>
                <w:color w:val="000000"/>
              </w:rPr>
              <w:t xml:space="preserve"> (tis. Kč)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Rozpočet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Plnění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% plnění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131" w:rsidRDefault="00696131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Rozdíl</w:t>
            </w:r>
          </w:p>
        </w:tc>
      </w:tr>
      <w:tr w:rsidR="002015EA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Transfery, které nepodléhají </w:t>
            </w:r>
            <w:proofErr w:type="spellStart"/>
            <w:r>
              <w:rPr>
                <w:rFonts w:ascii="Arial" w:hAnsi="Arial" w:cs="Arial"/>
                <w:b/>
                <w:bCs/>
              </w:rPr>
              <w:t>fin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bCs/>
              </w:rPr>
              <w:t>vypořádání</w:t>
            </w:r>
            <w:proofErr w:type="gram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18 379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100,0%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-8,5 </w:t>
            </w:r>
          </w:p>
        </w:tc>
      </w:tr>
      <w:tr w:rsidR="002015EA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Souhrnná neinvestiční dotace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2015EA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Veřejnopr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smlouvy správní odbor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-30,2 </w:t>
            </w:r>
          </w:p>
        </w:tc>
      </w:tr>
      <w:tr w:rsidR="002015EA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Veřejnopr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smlouvy policie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9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-0,6 </w:t>
            </w:r>
          </w:p>
        </w:tc>
      </w:tr>
      <w:tr w:rsidR="002015EA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Zůstatek z depozitního účtu z r. 2017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22,3 </w:t>
            </w:r>
          </w:p>
        </w:tc>
      </w:tr>
      <w:tr w:rsidR="002015EA" w:rsidRPr="003E57FF" w:rsidTr="007A17E3">
        <w:trPr>
          <w:trHeight w:val="255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Dotace, podléhající ročnímu </w:t>
            </w:r>
            <w:proofErr w:type="spellStart"/>
            <w:r>
              <w:rPr>
                <w:rFonts w:ascii="Arial" w:hAnsi="Arial" w:cs="Arial"/>
                <w:b/>
                <w:bCs/>
              </w:rPr>
              <w:t>fin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bCs/>
              </w:rPr>
              <w:t>vypořádání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se státním rozpočtem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5 936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5 966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100,5%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30,0 </w:t>
            </w:r>
          </w:p>
        </w:tc>
      </w:tr>
      <w:tr w:rsidR="002015EA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na výkon st. správy - soc. právní ochranu dětí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2015EA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MK ČR na obnovu památek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2015EA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na výkon st. správy -  soc. práci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2015EA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od ÚP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30,0 </w:t>
            </w:r>
          </w:p>
        </w:tc>
      </w:tr>
      <w:tr w:rsidR="002015EA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na volby (prezidenta, komunální)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2015EA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15EA" w:rsidRDefault="002015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MV ČR pro požární ochranu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9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2015EA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MŽP na kosení modráskové louky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2015EA" w:rsidRPr="003E57FF" w:rsidTr="007A17E3">
        <w:trPr>
          <w:trHeight w:val="321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MŽP na pěstební činnost v lesnictví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2015EA" w:rsidRPr="003E57FF" w:rsidTr="007A17E3">
        <w:trPr>
          <w:trHeight w:val="419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5EA" w:rsidRDefault="002015E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Dotace projektové, jejichž vypořádání probíhá podle smluv a pravidel poskytovatele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13 817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13 817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100,0%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5EA" w:rsidRDefault="002015E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-0,0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Dotace na Chodník Čsl.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legií</w:t>
            </w:r>
            <w:proofErr w:type="gramEnd"/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6 672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Min. vnitra ČR na požární cisternu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na projekt "Rozvoj MA21 v Jilemnici"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-0,7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na projekt "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Podpopra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sociální práce v Jilemnici"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na projekt "Modernizace odpadového systému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Dotace na projekt "Modernizace odpadového systému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Dotace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MŠMTz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OP vzdělávání pro ZŠ I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Dotace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MŠMTz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OP vzdělávání pro ZŠ II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Dotace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MŠMTz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OP vzdělávání pro MŠ  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na projekt revitalizace parku U Labutě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Dotace pro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SDJilm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 projekt Alternativa bez hranic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-0,0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Dotace pro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SDJilm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- projekt Alternativa bez hranic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0,7 </w:t>
            </w:r>
          </w:p>
        </w:tc>
      </w:tr>
      <w:tr w:rsidR="003740F1" w:rsidRPr="003E57FF" w:rsidTr="007A17E3">
        <w:trPr>
          <w:trHeight w:val="255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0F1" w:rsidRDefault="003740F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Dotace z Libereckého kraje, jejichž vypořádání probíhá podle smluv s LK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20 474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20 474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100,0%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LK na projekt Hraběnka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LK na soc. služby pro DC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8 352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Dotace LK na pečovatelskou službu 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1 700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Dotace LK na úpravu kontejnerových stání tř.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odpadu</w:t>
            </w:r>
            <w:proofErr w:type="gram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LK na obnovu požární cisterny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Dotace LK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na potrav. pomoc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MŠ Jilemnice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LK pro Zdravá města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LK pro požární ochranu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LK na festival Dech hor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Dotace LK pro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SDJilm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300"/>
        </w:trPr>
        <w:tc>
          <w:tcPr>
            <w:tcW w:w="5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Dotace LK pěstební činnost v lesnictví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0F1" w:rsidRDefault="003740F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0,0 </w:t>
            </w:r>
          </w:p>
        </w:tc>
      </w:tr>
      <w:tr w:rsidR="003740F1" w:rsidRPr="003E57FF" w:rsidTr="007A17E3">
        <w:trPr>
          <w:trHeight w:val="285"/>
        </w:trPr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0F1" w:rsidRDefault="003740F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Pr="003740F1" w:rsidRDefault="00374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740F1">
              <w:rPr>
                <w:rFonts w:ascii="Arial" w:hAnsi="Arial" w:cs="Arial"/>
                <w:b/>
                <w:bCs/>
              </w:rPr>
              <w:t>58 614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Pr="003740F1" w:rsidRDefault="003740F1">
            <w:pPr>
              <w:jc w:val="right"/>
              <w:rPr>
                <w:rFonts w:ascii="Arial" w:hAnsi="Arial" w:cs="Arial"/>
                <w:b/>
                <w:bCs/>
              </w:rPr>
            </w:pPr>
            <w:r w:rsidRPr="003740F1">
              <w:rPr>
                <w:rFonts w:ascii="Arial" w:hAnsi="Arial" w:cs="Arial"/>
                <w:b/>
                <w:bCs/>
              </w:rPr>
              <w:t>58 635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40F1" w:rsidRPr="003740F1" w:rsidRDefault="003740F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40F1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740F1" w:rsidRPr="003740F1" w:rsidRDefault="003740F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40F1">
              <w:rPr>
                <w:rFonts w:ascii="Arial" w:hAnsi="Arial" w:cs="Arial"/>
                <w:b/>
                <w:bCs/>
                <w:color w:val="000000"/>
              </w:rPr>
              <w:t>21,5</w:t>
            </w:r>
          </w:p>
        </w:tc>
      </w:tr>
    </w:tbl>
    <w:p w:rsidR="00F53A35" w:rsidRDefault="00F53A35" w:rsidP="00522E21">
      <w:pPr>
        <w:jc w:val="both"/>
        <w:rPr>
          <w:b/>
          <w:sz w:val="24"/>
          <w:szCs w:val="24"/>
        </w:rPr>
      </w:pPr>
    </w:p>
    <w:p w:rsidR="00522E21" w:rsidRPr="0089024B" w:rsidRDefault="00F71F85" w:rsidP="00522E21">
      <w:pPr>
        <w:jc w:val="both"/>
        <w:rPr>
          <w:b/>
          <w:sz w:val="24"/>
          <w:szCs w:val="24"/>
        </w:rPr>
      </w:pPr>
      <w:r w:rsidRPr="0089024B">
        <w:rPr>
          <w:b/>
          <w:sz w:val="24"/>
          <w:szCs w:val="24"/>
        </w:rPr>
        <w:t xml:space="preserve">b) Poskytnuté dotace z rozpočtu města za rok </w:t>
      </w:r>
      <w:r w:rsidR="003659AC" w:rsidRPr="0089024B">
        <w:rPr>
          <w:b/>
          <w:sz w:val="24"/>
          <w:szCs w:val="24"/>
        </w:rPr>
        <w:t>2018</w:t>
      </w:r>
    </w:p>
    <w:p w:rsidR="00F71F85" w:rsidRPr="0089024B" w:rsidRDefault="00522E21" w:rsidP="00522E21">
      <w:pPr>
        <w:jc w:val="both"/>
        <w:rPr>
          <w:sz w:val="24"/>
          <w:szCs w:val="24"/>
        </w:rPr>
      </w:pPr>
      <w:r w:rsidRPr="0089024B">
        <w:rPr>
          <w:sz w:val="24"/>
          <w:szCs w:val="24"/>
        </w:rPr>
        <w:t xml:space="preserve">Grantový program: Z grantového programu města bylo poskytnuto </w:t>
      </w:r>
      <w:r w:rsidR="0089024B" w:rsidRPr="0089024B">
        <w:rPr>
          <w:sz w:val="24"/>
          <w:szCs w:val="24"/>
        </w:rPr>
        <w:t>45</w:t>
      </w:r>
      <w:r w:rsidRPr="0089024B">
        <w:rPr>
          <w:sz w:val="24"/>
          <w:szCs w:val="24"/>
        </w:rPr>
        <w:t xml:space="preserve"> dotací v celkové hodnotě </w:t>
      </w:r>
      <w:r w:rsidR="00F71F85" w:rsidRPr="0089024B">
        <w:rPr>
          <w:sz w:val="24"/>
          <w:szCs w:val="24"/>
        </w:rPr>
        <w:t>1.000</w:t>
      </w:r>
      <w:r w:rsidRPr="0089024B">
        <w:rPr>
          <w:sz w:val="24"/>
          <w:szCs w:val="24"/>
        </w:rPr>
        <w:t xml:space="preserve"> tis. Kč</w:t>
      </w:r>
      <w:r w:rsidR="00C1301C" w:rsidRPr="0089024B">
        <w:rPr>
          <w:sz w:val="24"/>
          <w:szCs w:val="24"/>
        </w:rPr>
        <w:t xml:space="preserve">. Celkem 44 z nich bylo využito a řádně vyúčtováno, </w:t>
      </w:r>
      <w:r w:rsidR="0089024B" w:rsidRPr="0089024B">
        <w:rPr>
          <w:sz w:val="24"/>
          <w:szCs w:val="24"/>
        </w:rPr>
        <w:t>u jedné dotace došlo k posunutí termínu vyúčtování do 31.</w:t>
      </w:r>
      <w:r w:rsidR="0089024B">
        <w:rPr>
          <w:sz w:val="24"/>
          <w:szCs w:val="24"/>
        </w:rPr>
        <w:t xml:space="preserve"> </w:t>
      </w:r>
      <w:r w:rsidR="0089024B" w:rsidRPr="0089024B">
        <w:rPr>
          <w:sz w:val="24"/>
          <w:szCs w:val="24"/>
        </w:rPr>
        <w:t>12.</w:t>
      </w:r>
      <w:r w:rsidR="0089024B">
        <w:rPr>
          <w:sz w:val="24"/>
          <w:szCs w:val="24"/>
        </w:rPr>
        <w:t xml:space="preserve"> </w:t>
      </w:r>
      <w:r w:rsidR="0089024B" w:rsidRPr="0089024B">
        <w:rPr>
          <w:sz w:val="24"/>
          <w:szCs w:val="24"/>
        </w:rPr>
        <w:t>2019</w:t>
      </w:r>
      <w:r w:rsidR="00C1301C" w:rsidRPr="0089024B">
        <w:rPr>
          <w:sz w:val="24"/>
          <w:szCs w:val="24"/>
        </w:rPr>
        <w:t>.</w:t>
      </w:r>
    </w:p>
    <w:p w:rsidR="00583541" w:rsidRPr="008867DD" w:rsidRDefault="00583541" w:rsidP="00522E21">
      <w:pPr>
        <w:jc w:val="both"/>
        <w:rPr>
          <w:sz w:val="24"/>
          <w:szCs w:val="24"/>
        </w:rPr>
      </w:pPr>
      <w:r w:rsidRPr="008867DD">
        <w:rPr>
          <w:sz w:val="24"/>
          <w:szCs w:val="24"/>
        </w:rPr>
        <w:t xml:space="preserve">Grantový program </w:t>
      </w:r>
      <w:r w:rsidR="00653207" w:rsidRPr="008867DD">
        <w:rPr>
          <w:sz w:val="24"/>
          <w:szCs w:val="24"/>
        </w:rPr>
        <w:t xml:space="preserve">regenerace městských památkových zón: Poskytnuto </w:t>
      </w:r>
      <w:r w:rsidR="008867DD" w:rsidRPr="008867DD">
        <w:rPr>
          <w:sz w:val="24"/>
          <w:szCs w:val="24"/>
        </w:rPr>
        <w:t>8</w:t>
      </w:r>
      <w:r w:rsidR="00653207" w:rsidRPr="008867DD">
        <w:rPr>
          <w:sz w:val="24"/>
          <w:szCs w:val="24"/>
        </w:rPr>
        <w:t xml:space="preserve"> dotací v celkové hodnotě </w:t>
      </w:r>
      <w:r w:rsidR="008867DD" w:rsidRPr="008867DD">
        <w:rPr>
          <w:sz w:val="24"/>
          <w:szCs w:val="24"/>
        </w:rPr>
        <w:t>300 tis. Kč, všechny dotace byly v řádném termínu vyúčtovány.</w:t>
      </w:r>
    </w:p>
    <w:p w:rsidR="00CB7FB6" w:rsidRDefault="00F71F85" w:rsidP="00522E21">
      <w:pPr>
        <w:jc w:val="both"/>
        <w:rPr>
          <w:sz w:val="24"/>
          <w:szCs w:val="24"/>
        </w:rPr>
      </w:pPr>
      <w:r w:rsidRPr="003659AC">
        <w:rPr>
          <w:sz w:val="24"/>
          <w:szCs w:val="24"/>
        </w:rPr>
        <w:t xml:space="preserve">Sociální oblast - individuální dotace: </w:t>
      </w:r>
      <w:r w:rsidR="00522E21" w:rsidRPr="003659AC">
        <w:rPr>
          <w:sz w:val="24"/>
          <w:szCs w:val="24"/>
        </w:rPr>
        <w:t xml:space="preserve">V oblasti sociálních služeb bylo poskytnuto </w:t>
      </w:r>
      <w:r w:rsidR="003659AC">
        <w:rPr>
          <w:sz w:val="24"/>
          <w:szCs w:val="24"/>
        </w:rPr>
        <w:t>7</w:t>
      </w:r>
      <w:r w:rsidR="00522E21" w:rsidRPr="003659AC">
        <w:rPr>
          <w:sz w:val="24"/>
          <w:szCs w:val="24"/>
        </w:rPr>
        <w:t xml:space="preserve"> dotací v celkové výši </w:t>
      </w:r>
      <w:r w:rsidR="003659AC">
        <w:rPr>
          <w:sz w:val="24"/>
          <w:szCs w:val="24"/>
        </w:rPr>
        <w:t>50</w:t>
      </w:r>
      <w:r w:rsidR="00CB7FB6">
        <w:rPr>
          <w:sz w:val="24"/>
          <w:szCs w:val="24"/>
        </w:rPr>
        <w:t>,06 tis.</w:t>
      </w:r>
      <w:r w:rsidR="00522E21" w:rsidRPr="003659AC">
        <w:rPr>
          <w:sz w:val="24"/>
          <w:szCs w:val="24"/>
        </w:rPr>
        <w:t xml:space="preserve"> Kč. </w:t>
      </w:r>
      <w:r w:rsidR="003659AC">
        <w:rPr>
          <w:sz w:val="24"/>
          <w:szCs w:val="24"/>
        </w:rPr>
        <w:t>Všechny</w:t>
      </w:r>
      <w:r w:rsidR="00CB7FB6">
        <w:rPr>
          <w:sz w:val="24"/>
          <w:szCs w:val="24"/>
        </w:rPr>
        <w:t xml:space="preserve"> dotace</w:t>
      </w:r>
      <w:r w:rsidR="003659AC">
        <w:rPr>
          <w:sz w:val="24"/>
          <w:szCs w:val="24"/>
        </w:rPr>
        <w:t xml:space="preserve"> byly řádně </w:t>
      </w:r>
      <w:r w:rsidR="00CB7FB6">
        <w:rPr>
          <w:sz w:val="24"/>
          <w:szCs w:val="24"/>
        </w:rPr>
        <w:t xml:space="preserve">podle smluv </w:t>
      </w:r>
      <w:r w:rsidR="003659AC">
        <w:rPr>
          <w:sz w:val="24"/>
          <w:szCs w:val="24"/>
        </w:rPr>
        <w:t>vyúčtovány</w:t>
      </w:r>
      <w:r w:rsidR="00CB7FB6">
        <w:rPr>
          <w:sz w:val="24"/>
          <w:szCs w:val="24"/>
        </w:rPr>
        <w:t>.</w:t>
      </w:r>
      <w:r w:rsidR="003659AC">
        <w:rPr>
          <w:sz w:val="24"/>
          <w:szCs w:val="24"/>
        </w:rPr>
        <w:t xml:space="preserve"> </w:t>
      </w:r>
    </w:p>
    <w:p w:rsidR="00CB7FB6" w:rsidRDefault="00CB7FB6" w:rsidP="00522E21">
      <w:pPr>
        <w:jc w:val="both"/>
        <w:rPr>
          <w:sz w:val="24"/>
          <w:szCs w:val="24"/>
        </w:rPr>
      </w:pPr>
    </w:p>
    <w:p w:rsidR="00C1301C" w:rsidRPr="00BB228B" w:rsidRDefault="00C1301C" w:rsidP="00522E21">
      <w:pPr>
        <w:jc w:val="both"/>
        <w:rPr>
          <w:sz w:val="24"/>
          <w:szCs w:val="24"/>
        </w:rPr>
      </w:pPr>
      <w:r w:rsidRPr="00BB228B">
        <w:rPr>
          <w:sz w:val="24"/>
          <w:szCs w:val="24"/>
        </w:rPr>
        <w:t xml:space="preserve">Ostatní </w:t>
      </w:r>
      <w:r w:rsidR="00F71F85" w:rsidRPr="00BB228B">
        <w:rPr>
          <w:sz w:val="24"/>
          <w:szCs w:val="24"/>
        </w:rPr>
        <w:t>individuální dotace</w:t>
      </w:r>
      <w:r w:rsidR="006202F4" w:rsidRPr="00BB228B">
        <w:rPr>
          <w:sz w:val="24"/>
          <w:szCs w:val="24"/>
        </w:rPr>
        <w:t xml:space="preserve"> byly v roce 201</w:t>
      </w:r>
      <w:r w:rsidR="00CB7FB6" w:rsidRPr="00BB228B">
        <w:rPr>
          <w:sz w:val="24"/>
          <w:szCs w:val="24"/>
        </w:rPr>
        <w:t>8</w:t>
      </w:r>
      <w:r w:rsidR="006202F4" w:rsidRPr="00BB228B">
        <w:rPr>
          <w:sz w:val="24"/>
          <w:szCs w:val="24"/>
        </w:rPr>
        <w:t xml:space="preserve"> poskytnuty těmto subjektům:</w:t>
      </w:r>
    </w:p>
    <w:p w:rsidR="00C1301C" w:rsidRPr="00BB228B" w:rsidRDefault="00F71F85" w:rsidP="00FF65FD">
      <w:pPr>
        <w:pStyle w:val="Odstavecseseznamem"/>
        <w:numPr>
          <w:ilvl w:val="0"/>
          <w:numId w:val="21"/>
        </w:numPr>
        <w:ind w:left="360"/>
        <w:jc w:val="both"/>
      </w:pPr>
      <w:r w:rsidRPr="00BB228B">
        <w:t xml:space="preserve">CMJ o. s. Jilemnice ve výši </w:t>
      </w:r>
      <w:r w:rsidR="00CB7FB6" w:rsidRPr="00BB228B">
        <w:t>106</w:t>
      </w:r>
      <w:r w:rsidR="004F73D4" w:rsidRPr="00BB228B">
        <w:t>,</w:t>
      </w:r>
      <w:r w:rsidR="00CB7FB6" w:rsidRPr="00BB228B">
        <w:t>667</w:t>
      </w:r>
      <w:r w:rsidR="004F73D4" w:rsidRPr="00BB228B">
        <w:t>tis. Kč</w:t>
      </w:r>
      <w:r w:rsidR="00C1301C" w:rsidRPr="00BB228B">
        <w:t xml:space="preserve"> </w:t>
      </w:r>
      <w:r w:rsidR="006202F4" w:rsidRPr="00BB228B">
        <w:t xml:space="preserve">na </w:t>
      </w:r>
      <w:r w:rsidR="00C1301C" w:rsidRPr="00BB228B">
        <w:t>podporu informačního pro mládež</w:t>
      </w:r>
    </w:p>
    <w:p w:rsidR="00C1301C" w:rsidRPr="00BB228B" w:rsidRDefault="00C1301C" w:rsidP="00FF65FD">
      <w:pPr>
        <w:pStyle w:val="Odstavecseseznamem"/>
        <w:numPr>
          <w:ilvl w:val="0"/>
          <w:numId w:val="21"/>
        </w:numPr>
        <w:ind w:left="360"/>
        <w:jc w:val="both"/>
      </w:pPr>
      <w:r w:rsidRPr="00BB228B">
        <w:t xml:space="preserve">VHS Turnov ve výši </w:t>
      </w:r>
      <w:r w:rsidR="00BB228B" w:rsidRPr="00BB228B">
        <w:t>1.687</w:t>
      </w:r>
      <w:r w:rsidR="00CB7FB6" w:rsidRPr="00BB228B">
        <w:t>,-</w:t>
      </w:r>
      <w:r w:rsidRPr="00BB228B">
        <w:t xml:space="preserve"> Kč na akci Jilemnice - rekonstrukce vodovodu a kanalizace v Žižkově ulici</w:t>
      </w:r>
      <w:r w:rsidR="006202F4" w:rsidRPr="00BB228B">
        <w:t xml:space="preserve"> (doplatek </w:t>
      </w:r>
      <w:r w:rsidR="00BB228B" w:rsidRPr="00BB228B">
        <w:t>podle smlouvy)</w:t>
      </w:r>
    </w:p>
    <w:p w:rsidR="00CB7FB6" w:rsidRPr="00BB228B" w:rsidRDefault="00CB7FB6" w:rsidP="00FF65FD">
      <w:pPr>
        <w:pStyle w:val="Odstavecseseznamem"/>
        <w:numPr>
          <w:ilvl w:val="0"/>
          <w:numId w:val="21"/>
        </w:numPr>
        <w:ind w:left="360"/>
        <w:jc w:val="both"/>
      </w:pPr>
      <w:r w:rsidRPr="00BB228B">
        <w:t xml:space="preserve">VHS Turnov ve výši 948 tis. Kč na akci „Jilemnice – prodloužení vodovodu a kanalizace v lokalitě Pod Lomem – III. et.“  </w:t>
      </w:r>
    </w:p>
    <w:p w:rsidR="00CB7FB6" w:rsidRPr="00BB228B" w:rsidRDefault="00CB7FB6" w:rsidP="004F73D4">
      <w:pPr>
        <w:pStyle w:val="Odstavecseseznamem"/>
        <w:numPr>
          <w:ilvl w:val="0"/>
          <w:numId w:val="21"/>
        </w:numPr>
        <w:ind w:left="360"/>
        <w:jc w:val="both"/>
      </w:pPr>
      <w:r w:rsidRPr="00BB228B">
        <w:t>VHS Turn</w:t>
      </w:r>
      <w:r w:rsidR="00BB228B">
        <w:t>ov ve výši 752 tis. Kč na akci</w:t>
      </w:r>
      <w:r w:rsidRPr="00BB228B">
        <w:t xml:space="preserve"> „Jilemnice – obnova vodohospodářských sítí v </w:t>
      </w:r>
      <w:proofErr w:type="spellStart"/>
      <w:r w:rsidRPr="00BB228B">
        <w:t>Metyšově</w:t>
      </w:r>
      <w:proofErr w:type="spellEnd"/>
      <w:r w:rsidRPr="00BB228B">
        <w:t xml:space="preserve"> </w:t>
      </w:r>
      <w:proofErr w:type="gramStart"/>
      <w:r w:rsidRPr="00BB228B">
        <w:t xml:space="preserve">ulici“ </w:t>
      </w:r>
      <w:r w:rsidR="00CD7082" w:rsidRPr="00BB228B">
        <w:t>, z této</w:t>
      </w:r>
      <w:proofErr w:type="gramEnd"/>
      <w:r w:rsidR="00CD7082" w:rsidRPr="00BB228B">
        <w:t xml:space="preserve"> dotace bylo městu vráceno 525 tis. Kč.</w:t>
      </w:r>
    </w:p>
    <w:p w:rsidR="00CD7082" w:rsidRPr="00BB228B" w:rsidRDefault="00CD7082" w:rsidP="00CD7082">
      <w:pPr>
        <w:pStyle w:val="Odstavecseseznamem"/>
        <w:numPr>
          <w:ilvl w:val="0"/>
          <w:numId w:val="21"/>
        </w:numPr>
        <w:ind w:left="360"/>
        <w:jc w:val="both"/>
      </w:pPr>
      <w:r w:rsidRPr="00BB228B">
        <w:t xml:space="preserve">VHS Turnov ve výši 4.000 tis. na akci “Jilemnice - zkapacitnění vodního zdroje </w:t>
      </w:r>
      <w:proofErr w:type="spellStart"/>
      <w:r w:rsidRPr="00BB228B">
        <w:t>Bátovka</w:t>
      </w:r>
      <w:proofErr w:type="spellEnd"/>
      <w:r w:rsidRPr="00BB228B">
        <w:t>“ (doplatek ve výši 2.000 tis. bude dle smlouvy realizován v roce 2019).</w:t>
      </w:r>
    </w:p>
    <w:p w:rsidR="00CB7FB6" w:rsidRPr="00BB228B" w:rsidRDefault="004F73D4" w:rsidP="004F73D4">
      <w:pPr>
        <w:pStyle w:val="Odstavecseseznamem"/>
        <w:numPr>
          <w:ilvl w:val="0"/>
          <w:numId w:val="21"/>
        </w:numPr>
        <w:ind w:left="360"/>
        <w:jc w:val="both"/>
      </w:pPr>
      <w:r w:rsidRPr="00BB228B">
        <w:t>Jilemnicko- svazek obcí ve výši 60 tis. Kč na financování kulturního programu při akci „Krakonošovy letní podvečery 2018“</w:t>
      </w:r>
    </w:p>
    <w:p w:rsidR="00FF65FD" w:rsidRPr="00BB228B" w:rsidRDefault="00FF65FD" w:rsidP="00FF65FD">
      <w:pPr>
        <w:pStyle w:val="Nadpis1"/>
        <w:numPr>
          <w:ilvl w:val="0"/>
          <w:numId w:val="21"/>
        </w:numPr>
        <w:ind w:left="360"/>
        <w:rPr>
          <w:b w:val="0"/>
          <w:sz w:val="20"/>
        </w:rPr>
      </w:pPr>
      <w:r w:rsidRPr="00BB228B">
        <w:rPr>
          <w:b w:val="0"/>
          <w:sz w:val="20"/>
        </w:rPr>
        <w:t xml:space="preserve">Krkonošské pivní slavnosti-spolek ve výši </w:t>
      </w:r>
      <w:r w:rsidR="004F73D4" w:rsidRPr="00BB228B">
        <w:rPr>
          <w:b w:val="0"/>
          <w:sz w:val="20"/>
        </w:rPr>
        <w:t>40</w:t>
      </w:r>
      <w:r w:rsidR="00A50C9B" w:rsidRPr="00BB228B">
        <w:rPr>
          <w:b w:val="0"/>
          <w:sz w:val="20"/>
        </w:rPr>
        <w:t xml:space="preserve"> </w:t>
      </w:r>
      <w:r w:rsidRPr="00BB228B">
        <w:rPr>
          <w:b w:val="0"/>
          <w:sz w:val="20"/>
        </w:rPr>
        <w:t>tis. Kč na akci „ Krkonošské pivní slavnosti Jilemnice“</w:t>
      </w:r>
    </w:p>
    <w:p w:rsidR="00FF65FD" w:rsidRPr="00BB228B" w:rsidRDefault="00FF65FD" w:rsidP="00FF65FD">
      <w:pPr>
        <w:pStyle w:val="Odstavecseseznamem"/>
        <w:numPr>
          <w:ilvl w:val="0"/>
          <w:numId w:val="21"/>
        </w:numPr>
        <w:ind w:left="360"/>
      </w:pPr>
      <w:r w:rsidRPr="00BB228B">
        <w:t xml:space="preserve">TJ </w:t>
      </w:r>
      <w:proofErr w:type="gramStart"/>
      <w:r w:rsidRPr="00BB228B">
        <w:t>Jilemnice</w:t>
      </w:r>
      <w:r w:rsidR="004F73D4" w:rsidRPr="00BB228B">
        <w:t xml:space="preserve">, </w:t>
      </w:r>
      <w:proofErr w:type="spellStart"/>
      <w:r w:rsidR="004F73D4" w:rsidRPr="00BB228B">
        <w:t>z.s</w:t>
      </w:r>
      <w:proofErr w:type="spellEnd"/>
      <w:r w:rsidR="004F73D4" w:rsidRPr="00BB228B">
        <w:t>.</w:t>
      </w:r>
      <w:proofErr w:type="gramEnd"/>
      <w:r w:rsidRPr="00BB228B">
        <w:t xml:space="preserve"> ve výši </w:t>
      </w:r>
      <w:r w:rsidR="00BB228B" w:rsidRPr="00BB228B">
        <w:t>352,251</w:t>
      </w:r>
      <w:r w:rsidRPr="00BB228B">
        <w:t xml:space="preserve"> tis. Kč na </w:t>
      </w:r>
      <w:r w:rsidR="00BB228B" w:rsidRPr="00BB228B">
        <w:t>„</w:t>
      </w:r>
      <w:r w:rsidRPr="00BB228B">
        <w:t>Celoroční sportovní činnost oddílů TJ Jilemnice</w:t>
      </w:r>
      <w:r w:rsidR="00BB228B" w:rsidRPr="00BB228B">
        <w:t>“</w:t>
      </w:r>
    </w:p>
    <w:p w:rsidR="004F73D4" w:rsidRPr="00BB228B" w:rsidRDefault="004F73D4" w:rsidP="00FF65FD">
      <w:pPr>
        <w:pStyle w:val="Odstavecseseznamem"/>
        <w:numPr>
          <w:ilvl w:val="0"/>
          <w:numId w:val="21"/>
        </w:numPr>
        <w:ind w:left="360"/>
      </w:pPr>
      <w:r w:rsidRPr="00BB228B">
        <w:t xml:space="preserve">TJ Jilemnice </w:t>
      </w:r>
      <w:proofErr w:type="spellStart"/>
      <w:r w:rsidRPr="00BB228B">
        <w:t>z.s</w:t>
      </w:r>
      <w:proofErr w:type="spellEnd"/>
      <w:r w:rsidRPr="00BB228B">
        <w:t xml:space="preserve">. ve výši 7 tis. na vydání brožury </w:t>
      </w:r>
      <w:proofErr w:type="gramStart"/>
      <w:r w:rsidRPr="00BB228B">
        <w:t>ke</w:t>
      </w:r>
      <w:proofErr w:type="gramEnd"/>
      <w:r w:rsidRPr="00BB228B">
        <w:t xml:space="preserve"> 100. letému výročí vzniku fotbalového oddílu v Jilemnici.</w:t>
      </w:r>
    </w:p>
    <w:p w:rsidR="00FF65FD" w:rsidRPr="00BB228B" w:rsidRDefault="00FF65FD" w:rsidP="00FF65FD">
      <w:pPr>
        <w:pStyle w:val="Odstavecseseznamem"/>
        <w:numPr>
          <w:ilvl w:val="0"/>
          <w:numId w:val="21"/>
        </w:numPr>
        <w:ind w:left="360"/>
      </w:pPr>
      <w:r w:rsidRPr="00BB228B">
        <w:t>Sportovní klub NIKÉ</w:t>
      </w:r>
      <w:r w:rsidR="00A50C9B" w:rsidRPr="00BB228B">
        <w:t xml:space="preserve"> Jilemnice ve výši </w:t>
      </w:r>
      <w:r w:rsidR="00890C1A" w:rsidRPr="00BB228B">
        <w:t>62</w:t>
      </w:r>
      <w:r w:rsidRPr="00BB228B">
        <w:t xml:space="preserve"> tis. Kč na projekt „Plavání Jilemnice“.</w:t>
      </w:r>
    </w:p>
    <w:p w:rsidR="006202F4" w:rsidRPr="00BB228B" w:rsidRDefault="009A0EE4" w:rsidP="00FF65FD">
      <w:pPr>
        <w:pStyle w:val="Odstavecseseznamem"/>
        <w:numPr>
          <w:ilvl w:val="0"/>
          <w:numId w:val="21"/>
        </w:numPr>
        <w:ind w:left="360"/>
        <w:jc w:val="both"/>
      </w:pPr>
      <w:r w:rsidRPr="00BB228B">
        <w:t xml:space="preserve">VHS Turnov ve výši povinného podílu k úrokům </w:t>
      </w:r>
      <w:r w:rsidR="00CB7FB6" w:rsidRPr="00BB228B">
        <w:t>61,375</w:t>
      </w:r>
      <w:r w:rsidRPr="00BB228B">
        <w:t xml:space="preserve"> tis. Kč k projektu „Čistá Jizera I“  </w:t>
      </w:r>
    </w:p>
    <w:p w:rsidR="009A0EE4" w:rsidRPr="00BB228B" w:rsidRDefault="00A50C9B" w:rsidP="00FF65FD">
      <w:pPr>
        <w:pStyle w:val="Odstavecseseznamem"/>
        <w:numPr>
          <w:ilvl w:val="0"/>
          <w:numId w:val="21"/>
        </w:numPr>
        <w:ind w:left="360"/>
        <w:jc w:val="both"/>
      </w:pPr>
      <w:r w:rsidRPr="00BB228B">
        <w:t>Správa KRNAP ve výši 1</w:t>
      </w:r>
      <w:r w:rsidR="004F73D4" w:rsidRPr="00BB228B">
        <w:t>.200</w:t>
      </w:r>
      <w:r w:rsidR="009A0EE4" w:rsidRPr="00BB228B">
        <w:t xml:space="preserve"> tis. Kč na provoz Krkonošského muzea v Jilemnici</w:t>
      </w:r>
    </w:p>
    <w:p w:rsidR="009A0EE4" w:rsidRPr="00BB228B" w:rsidRDefault="009A0EE4" w:rsidP="00FF65FD">
      <w:pPr>
        <w:pStyle w:val="Odstavecseseznamem"/>
        <w:numPr>
          <w:ilvl w:val="0"/>
          <w:numId w:val="21"/>
        </w:numPr>
        <w:ind w:left="360"/>
        <w:jc w:val="both"/>
      </w:pPr>
      <w:r w:rsidRPr="00BB228B">
        <w:t>Liberecký kraj ve výši 4</w:t>
      </w:r>
      <w:r w:rsidR="00A50C9B" w:rsidRPr="00BB228B">
        <w:t xml:space="preserve">96,35 tis. </w:t>
      </w:r>
      <w:r w:rsidRPr="00BB228B">
        <w:t>Kč na zajištění dopravní obslužnosti</w:t>
      </w:r>
    </w:p>
    <w:p w:rsidR="009A0EE4" w:rsidRPr="00BB228B" w:rsidRDefault="004F73D4" w:rsidP="009A0EE4">
      <w:pPr>
        <w:pStyle w:val="Odstavecseseznamem"/>
        <w:numPr>
          <w:ilvl w:val="0"/>
          <w:numId w:val="21"/>
        </w:numPr>
        <w:ind w:left="360"/>
        <w:jc w:val="both"/>
      </w:pPr>
      <w:r w:rsidRPr="00BB228B">
        <w:t xml:space="preserve">ČKS SKI Jilemnice, </w:t>
      </w:r>
      <w:proofErr w:type="spellStart"/>
      <w:proofErr w:type="gramStart"/>
      <w:r w:rsidRPr="00BB228B">
        <w:t>o.s</w:t>
      </w:r>
      <w:proofErr w:type="spellEnd"/>
      <w:r w:rsidRPr="00BB228B">
        <w:t>.</w:t>
      </w:r>
      <w:proofErr w:type="gramEnd"/>
      <w:r w:rsidRPr="00BB228B">
        <w:t xml:space="preserve"> ve výši 45 tis. na údržbu </w:t>
      </w:r>
      <w:r w:rsidR="00890C1A" w:rsidRPr="00BB228B">
        <w:t>a úpravu běžeckých tratí v Jilemnici</w:t>
      </w:r>
    </w:p>
    <w:p w:rsidR="00890C1A" w:rsidRPr="00BB228B" w:rsidRDefault="00890C1A" w:rsidP="009A0EE4">
      <w:pPr>
        <w:pStyle w:val="Odstavecseseznamem"/>
        <w:numPr>
          <w:ilvl w:val="0"/>
          <w:numId w:val="21"/>
        </w:numPr>
        <w:ind w:left="360"/>
        <w:jc w:val="both"/>
      </w:pPr>
      <w:r w:rsidRPr="00BB228B">
        <w:t>Viktor Kuna ve výši 40 tis. Kč na financování kulturního programu při akci „Dech hor“ – filmový a cestovatelský festival v Jilemnici, z této dotace bylo městu vráceno 35.219 tis. Kč</w:t>
      </w:r>
    </w:p>
    <w:p w:rsidR="00BB228B" w:rsidRPr="00BB228B" w:rsidRDefault="00BB228B" w:rsidP="00BB228B">
      <w:pPr>
        <w:pStyle w:val="Odstavecseseznamem"/>
        <w:ind w:left="360"/>
        <w:jc w:val="both"/>
      </w:pPr>
    </w:p>
    <w:p w:rsidR="00522E21" w:rsidRDefault="00522E21" w:rsidP="00522E21">
      <w:pPr>
        <w:jc w:val="both"/>
        <w:rPr>
          <w:sz w:val="24"/>
          <w:szCs w:val="24"/>
        </w:rPr>
      </w:pPr>
      <w:r w:rsidRPr="00BB228B">
        <w:rPr>
          <w:sz w:val="24"/>
          <w:szCs w:val="24"/>
        </w:rPr>
        <w:t>U všech poskytnutých dotací byly splněny podmínky pro jejich čerpání a tyto dotace byly městu vyúčtovány.</w:t>
      </w:r>
      <w:r w:rsidR="00E3078D" w:rsidRPr="00BB228B">
        <w:rPr>
          <w:sz w:val="24"/>
          <w:szCs w:val="24"/>
        </w:rPr>
        <w:t xml:space="preserve"> Veřejnosprávní kontroly </w:t>
      </w:r>
      <w:r w:rsidR="002C7D24" w:rsidRPr="00BB228B">
        <w:rPr>
          <w:sz w:val="24"/>
          <w:szCs w:val="24"/>
        </w:rPr>
        <w:t xml:space="preserve">týkající se splnění všech podmínek ze strany příjemců </w:t>
      </w:r>
      <w:r w:rsidR="002C7D24" w:rsidRPr="00BB228B">
        <w:rPr>
          <w:sz w:val="24"/>
          <w:szCs w:val="24"/>
        </w:rPr>
        <w:lastRenderedPageBreak/>
        <w:t>dotací</w:t>
      </w:r>
      <w:r w:rsidRPr="00BB228B">
        <w:rPr>
          <w:sz w:val="24"/>
          <w:szCs w:val="24"/>
        </w:rPr>
        <w:t xml:space="preserve"> </w:t>
      </w:r>
      <w:r w:rsidR="002C7D24" w:rsidRPr="00BB228B">
        <w:rPr>
          <w:sz w:val="24"/>
          <w:szCs w:val="24"/>
        </w:rPr>
        <w:t>jsou prováděny průběžně podle Zákona č. 250/2000 Sb. o rozpočtových pravidlech územních rozpočtů.</w:t>
      </w:r>
    </w:p>
    <w:p w:rsidR="00522E21" w:rsidRPr="001C7B95" w:rsidRDefault="00522E21" w:rsidP="00106D3A">
      <w:pPr>
        <w:jc w:val="both"/>
        <w:rPr>
          <w:sz w:val="24"/>
          <w:szCs w:val="24"/>
        </w:rPr>
      </w:pPr>
    </w:p>
    <w:p w:rsidR="00131904" w:rsidRPr="00A52233" w:rsidRDefault="00B929EA" w:rsidP="00B929EA">
      <w:pPr>
        <w:jc w:val="both"/>
        <w:rPr>
          <w:b/>
          <w:sz w:val="24"/>
          <w:szCs w:val="24"/>
        </w:rPr>
      </w:pPr>
      <w:r w:rsidRPr="00A52233">
        <w:rPr>
          <w:b/>
          <w:sz w:val="24"/>
          <w:szCs w:val="24"/>
        </w:rPr>
        <w:t xml:space="preserve">6) </w:t>
      </w:r>
      <w:r w:rsidR="00131904" w:rsidRPr="00A52233">
        <w:rPr>
          <w:b/>
          <w:sz w:val="24"/>
          <w:szCs w:val="24"/>
        </w:rPr>
        <w:t>Zpráva o vý</w:t>
      </w:r>
      <w:r w:rsidR="00C02095" w:rsidRPr="00A52233">
        <w:rPr>
          <w:b/>
          <w:sz w:val="24"/>
          <w:szCs w:val="24"/>
        </w:rPr>
        <w:t xml:space="preserve">sledku přezkoumání hospodaření </w:t>
      </w:r>
      <w:r w:rsidR="008443C7" w:rsidRPr="00A52233">
        <w:rPr>
          <w:b/>
          <w:sz w:val="24"/>
          <w:szCs w:val="24"/>
        </w:rPr>
        <w:t>m</w:t>
      </w:r>
      <w:r w:rsidR="00131904" w:rsidRPr="00A52233">
        <w:rPr>
          <w:b/>
          <w:sz w:val="24"/>
          <w:szCs w:val="24"/>
        </w:rPr>
        <w:t xml:space="preserve">ěsta Jilemnice za </w:t>
      </w:r>
      <w:r w:rsidR="00C02095" w:rsidRPr="00A52233">
        <w:rPr>
          <w:b/>
          <w:sz w:val="24"/>
          <w:szCs w:val="24"/>
        </w:rPr>
        <w:t xml:space="preserve">rok </w:t>
      </w:r>
      <w:r w:rsidR="001C3077" w:rsidRPr="00A52233">
        <w:rPr>
          <w:b/>
          <w:sz w:val="24"/>
          <w:szCs w:val="24"/>
        </w:rPr>
        <w:t>201</w:t>
      </w:r>
      <w:r w:rsidR="00A52233" w:rsidRPr="00A52233">
        <w:rPr>
          <w:b/>
          <w:sz w:val="24"/>
          <w:szCs w:val="24"/>
        </w:rPr>
        <w:t>8</w:t>
      </w:r>
    </w:p>
    <w:p w:rsidR="00131904" w:rsidRPr="00A52233" w:rsidRDefault="00131904" w:rsidP="00C33596">
      <w:pPr>
        <w:ind w:firstLine="360"/>
        <w:jc w:val="both"/>
        <w:rPr>
          <w:sz w:val="24"/>
          <w:szCs w:val="24"/>
        </w:rPr>
      </w:pPr>
      <w:r w:rsidRPr="00A52233">
        <w:rPr>
          <w:sz w:val="24"/>
          <w:szCs w:val="24"/>
        </w:rPr>
        <w:t>Přezkoumá</w:t>
      </w:r>
      <w:r w:rsidR="004A0BD8" w:rsidRPr="00A52233">
        <w:rPr>
          <w:sz w:val="24"/>
          <w:szCs w:val="24"/>
        </w:rPr>
        <w:t>ní hospodaření města za rok 20</w:t>
      </w:r>
      <w:r w:rsidR="002E7723" w:rsidRPr="00A52233">
        <w:rPr>
          <w:sz w:val="24"/>
          <w:szCs w:val="24"/>
        </w:rPr>
        <w:t>1</w:t>
      </w:r>
      <w:r w:rsidR="00A52233" w:rsidRPr="00A52233">
        <w:rPr>
          <w:sz w:val="24"/>
          <w:szCs w:val="24"/>
        </w:rPr>
        <w:t>8</w:t>
      </w:r>
      <w:r w:rsidR="00957F69" w:rsidRPr="00A52233">
        <w:rPr>
          <w:sz w:val="24"/>
          <w:szCs w:val="24"/>
        </w:rPr>
        <w:t xml:space="preserve"> provedl</w:t>
      </w:r>
      <w:r w:rsidR="001A1BB3" w:rsidRPr="00A52233">
        <w:rPr>
          <w:sz w:val="24"/>
          <w:szCs w:val="24"/>
        </w:rPr>
        <w:t xml:space="preserve"> Krajský úřad Libereckého kraje, odbor kontroly. Řízením přezkoumání hospodaření byl pověřen</w:t>
      </w:r>
      <w:r w:rsidR="00BB4481" w:rsidRPr="00A52233">
        <w:rPr>
          <w:sz w:val="24"/>
          <w:szCs w:val="24"/>
        </w:rPr>
        <w:t xml:space="preserve"> </w:t>
      </w:r>
      <w:r w:rsidR="001A1BB3" w:rsidRPr="00A52233">
        <w:rPr>
          <w:sz w:val="24"/>
          <w:szCs w:val="24"/>
        </w:rPr>
        <w:t xml:space="preserve">Ing. </w:t>
      </w:r>
      <w:r w:rsidR="00BB4481" w:rsidRPr="00A52233">
        <w:rPr>
          <w:sz w:val="24"/>
          <w:szCs w:val="24"/>
        </w:rPr>
        <w:t>Jiří</w:t>
      </w:r>
      <w:r w:rsidR="007A6208" w:rsidRPr="00A52233">
        <w:rPr>
          <w:sz w:val="24"/>
          <w:szCs w:val="24"/>
        </w:rPr>
        <w:t xml:space="preserve"> </w:t>
      </w:r>
      <w:r w:rsidR="00BB4481" w:rsidRPr="00A52233">
        <w:rPr>
          <w:sz w:val="24"/>
          <w:szCs w:val="24"/>
        </w:rPr>
        <w:t>Heršálek.</w:t>
      </w:r>
    </w:p>
    <w:p w:rsidR="00131904" w:rsidRPr="00A52233" w:rsidRDefault="00131904" w:rsidP="00C33596">
      <w:pPr>
        <w:ind w:firstLine="360"/>
        <w:jc w:val="both"/>
        <w:rPr>
          <w:sz w:val="24"/>
          <w:szCs w:val="24"/>
        </w:rPr>
      </w:pPr>
      <w:r w:rsidRPr="00A52233">
        <w:rPr>
          <w:sz w:val="24"/>
          <w:szCs w:val="24"/>
        </w:rPr>
        <w:t>Přezkoumání hospodaření bylo provedeno v souladu</w:t>
      </w:r>
      <w:r w:rsidR="00A52233">
        <w:rPr>
          <w:sz w:val="24"/>
          <w:szCs w:val="24"/>
        </w:rPr>
        <w:t xml:space="preserve"> se zákonem č. </w:t>
      </w:r>
      <w:r w:rsidR="000F518D" w:rsidRPr="00A52233">
        <w:rPr>
          <w:sz w:val="24"/>
          <w:szCs w:val="24"/>
        </w:rPr>
        <w:t>420/2004</w:t>
      </w:r>
      <w:r w:rsidRPr="00A52233">
        <w:rPr>
          <w:sz w:val="24"/>
          <w:szCs w:val="24"/>
        </w:rPr>
        <w:t xml:space="preserve"> Sb</w:t>
      </w:r>
      <w:r w:rsidR="00BB4481" w:rsidRPr="00A52233">
        <w:rPr>
          <w:sz w:val="24"/>
          <w:szCs w:val="24"/>
        </w:rPr>
        <w:t>.,</w:t>
      </w:r>
      <w:r w:rsidRPr="00A52233">
        <w:rPr>
          <w:sz w:val="24"/>
          <w:szCs w:val="24"/>
        </w:rPr>
        <w:t xml:space="preserve"> </w:t>
      </w:r>
      <w:r w:rsidR="009F75D2" w:rsidRPr="00A52233">
        <w:rPr>
          <w:sz w:val="24"/>
          <w:szCs w:val="24"/>
        </w:rPr>
        <w:t>o přezkoumávání hospodaření územních samosprávných celků a dobrovolných svazků obcí</w:t>
      </w:r>
      <w:r w:rsidR="000F518D" w:rsidRPr="00A52233">
        <w:rPr>
          <w:sz w:val="24"/>
          <w:szCs w:val="24"/>
        </w:rPr>
        <w:t xml:space="preserve">. </w:t>
      </w:r>
      <w:r w:rsidRPr="00A52233">
        <w:rPr>
          <w:sz w:val="24"/>
          <w:szCs w:val="24"/>
        </w:rPr>
        <w:t>Cílem je ověření, zda hospodaření obce odpovídá závazným právním předpisům, především zákonu o obcích, o rozpočtových pravidlech územně samosprávných celků, o účetnictví, o zadávání veřejných zakázek, příp. dalším předpisům upravující hospodaření obce.</w:t>
      </w:r>
      <w:r w:rsidR="00C02095" w:rsidRPr="00A52233">
        <w:rPr>
          <w:sz w:val="24"/>
          <w:szCs w:val="24"/>
        </w:rPr>
        <w:t xml:space="preserve"> </w:t>
      </w:r>
    </w:p>
    <w:p w:rsidR="00B72C5A" w:rsidRPr="002C7D24" w:rsidRDefault="000F518D" w:rsidP="002C7D24">
      <w:pPr>
        <w:ind w:firstLine="360"/>
        <w:jc w:val="both"/>
        <w:rPr>
          <w:b/>
          <w:sz w:val="24"/>
          <w:szCs w:val="24"/>
        </w:rPr>
      </w:pPr>
      <w:r w:rsidRPr="00A52233">
        <w:rPr>
          <w:sz w:val="24"/>
          <w:szCs w:val="24"/>
        </w:rPr>
        <w:t xml:space="preserve">Závěr zprávy o výsledku přezkoumání hospodaření zní: </w:t>
      </w:r>
      <w:r w:rsidR="00A52233" w:rsidRPr="00A52233">
        <w:rPr>
          <w:b/>
          <w:sz w:val="24"/>
          <w:szCs w:val="24"/>
        </w:rPr>
        <w:t>Při přezkoumání hospodaření města za rok 2018 podle §2 a §3 zákona č. 420/2004 Sb. n</w:t>
      </w:r>
      <w:r w:rsidRPr="00A52233">
        <w:rPr>
          <w:b/>
          <w:sz w:val="24"/>
          <w:szCs w:val="24"/>
        </w:rPr>
        <w:t>ebyly zjištěny</w:t>
      </w:r>
      <w:r w:rsidR="001A1BB3" w:rsidRPr="00A52233">
        <w:rPr>
          <w:b/>
          <w:sz w:val="24"/>
          <w:szCs w:val="24"/>
        </w:rPr>
        <w:t xml:space="preserve"> chyby a</w:t>
      </w:r>
      <w:r w:rsidRPr="00A52233">
        <w:rPr>
          <w:b/>
          <w:sz w:val="24"/>
          <w:szCs w:val="24"/>
        </w:rPr>
        <w:t xml:space="preserve"> nedostatky</w:t>
      </w:r>
      <w:r w:rsidR="00C33596" w:rsidRPr="00A52233">
        <w:rPr>
          <w:b/>
          <w:sz w:val="24"/>
          <w:szCs w:val="24"/>
        </w:rPr>
        <w:t>.</w:t>
      </w:r>
      <w:r w:rsidRPr="00A52233">
        <w:rPr>
          <w:b/>
          <w:sz w:val="24"/>
          <w:szCs w:val="24"/>
        </w:rPr>
        <w:tab/>
      </w:r>
    </w:p>
    <w:p w:rsidR="00131904" w:rsidRPr="001F170D" w:rsidRDefault="00131904">
      <w:pPr>
        <w:rPr>
          <w:b/>
          <w:sz w:val="24"/>
          <w:szCs w:val="24"/>
        </w:rPr>
      </w:pPr>
      <w:r w:rsidRPr="001F170D">
        <w:rPr>
          <w:b/>
          <w:sz w:val="24"/>
          <w:szCs w:val="24"/>
        </w:rPr>
        <w:t>Přílohy:</w:t>
      </w:r>
    </w:p>
    <w:p w:rsidR="00131904" w:rsidRDefault="007B52F7" w:rsidP="00B72C5A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Přehled</w:t>
      </w:r>
      <w:r w:rsidR="00131904" w:rsidRPr="00B929EA">
        <w:rPr>
          <w:sz w:val="24"/>
          <w:szCs w:val="24"/>
        </w:rPr>
        <w:t xml:space="preserve"> příjmů a výdajů za </w:t>
      </w:r>
      <w:r w:rsidR="00D924E7" w:rsidRPr="00B929EA">
        <w:rPr>
          <w:sz w:val="24"/>
          <w:szCs w:val="24"/>
        </w:rPr>
        <w:t xml:space="preserve">rok </w:t>
      </w:r>
      <w:r w:rsidR="003740F1">
        <w:rPr>
          <w:sz w:val="24"/>
          <w:szCs w:val="24"/>
        </w:rPr>
        <w:t>2018</w:t>
      </w:r>
      <w:r w:rsidR="001C3077">
        <w:rPr>
          <w:sz w:val="24"/>
          <w:szCs w:val="24"/>
        </w:rPr>
        <w:t>,</w:t>
      </w:r>
      <w:r w:rsidR="00925686" w:rsidRPr="00B929EA">
        <w:rPr>
          <w:sz w:val="24"/>
          <w:szCs w:val="24"/>
        </w:rPr>
        <w:t xml:space="preserve"> přehled hospodaření příspěvkových organizací a údaje o jejich majetku za rok </w:t>
      </w:r>
      <w:r w:rsidR="003740F1">
        <w:rPr>
          <w:sz w:val="24"/>
          <w:szCs w:val="24"/>
        </w:rPr>
        <w:t>2018</w:t>
      </w:r>
    </w:p>
    <w:p w:rsidR="00EB5B24" w:rsidRPr="00B929EA" w:rsidRDefault="00EB5B24" w:rsidP="00B72C5A">
      <w:pPr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Se</w:t>
      </w:r>
      <w:r w:rsidR="003740F1">
        <w:rPr>
          <w:sz w:val="24"/>
          <w:szCs w:val="24"/>
        </w:rPr>
        <w:t>stava Závěrečný účet za rok 2018</w:t>
      </w:r>
      <w:r>
        <w:rPr>
          <w:sz w:val="24"/>
          <w:szCs w:val="24"/>
        </w:rPr>
        <w:t xml:space="preserve"> – plné členění podle rozpočtové skladby</w:t>
      </w:r>
    </w:p>
    <w:p w:rsidR="00131904" w:rsidRPr="00B929EA" w:rsidRDefault="00131904" w:rsidP="00B72C5A">
      <w:pPr>
        <w:numPr>
          <w:ilvl w:val="0"/>
          <w:numId w:val="16"/>
        </w:numPr>
        <w:rPr>
          <w:sz w:val="24"/>
          <w:szCs w:val="24"/>
        </w:rPr>
      </w:pPr>
      <w:r w:rsidRPr="00B929EA">
        <w:rPr>
          <w:sz w:val="24"/>
          <w:szCs w:val="24"/>
        </w:rPr>
        <w:t>Zpráva o výsled</w:t>
      </w:r>
      <w:r w:rsidR="009F75D2" w:rsidRPr="00B929EA">
        <w:rPr>
          <w:sz w:val="24"/>
          <w:szCs w:val="24"/>
        </w:rPr>
        <w:t>ku</w:t>
      </w:r>
      <w:r w:rsidRPr="00B929EA">
        <w:rPr>
          <w:sz w:val="24"/>
          <w:szCs w:val="24"/>
        </w:rPr>
        <w:t xml:space="preserve"> přezkoumání hospoda</w:t>
      </w:r>
      <w:r w:rsidR="00D924E7" w:rsidRPr="00B929EA">
        <w:rPr>
          <w:sz w:val="24"/>
          <w:szCs w:val="24"/>
        </w:rPr>
        <w:t xml:space="preserve">ření </w:t>
      </w:r>
      <w:r w:rsidR="003B7FD9" w:rsidRPr="00B929EA">
        <w:rPr>
          <w:sz w:val="24"/>
          <w:szCs w:val="24"/>
        </w:rPr>
        <w:t>m</w:t>
      </w:r>
      <w:r w:rsidR="00D924E7" w:rsidRPr="00B929EA">
        <w:rPr>
          <w:sz w:val="24"/>
          <w:szCs w:val="24"/>
        </w:rPr>
        <w:t>ěsta Jilem</w:t>
      </w:r>
      <w:r w:rsidR="00DB55FE" w:rsidRPr="00B929EA">
        <w:rPr>
          <w:sz w:val="24"/>
          <w:szCs w:val="24"/>
        </w:rPr>
        <w:t xml:space="preserve">nice za rok </w:t>
      </w:r>
      <w:r w:rsidR="003740F1">
        <w:rPr>
          <w:sz w:val="24"/>
          <w:szCs w:val="24"/>
        </w:rPr>
        <w:t>2018</w:t>
      </w:r>
    </w:p>
    <w:p w:rsidR="007B52F7" w:rsidRDefault="007B52F7" w:rsidP="007B52F7">
      <w:pPr>
        <w:ind w:left="360"/>
        <w:rPr>
          <w:sz w:val="24"/>
          <w:szCs w:val="24"/>
        </w:rPr>
      </w:pPr>
    </w:p>
    <w:p w:rsidR="007B52F7" w:rsidRDefault="00B72C5A" w:rsidP="007B52F7">
      <w:pPr>
        <w:ind w:left="360"/>
        <w:rPr>
          <w:sz w:val="24"/>
          <w:szCs w:val="24"/>
        </w:rPr>
      </w:pPr>
      <w:r w:rsidRPr="00B929EA">
        <w:rPr>
          <w:sz w:val="24"/>
          <w:szCs w:val="24"/>
        </w:rPr>
        <w:t>Účetní vý</w:t>
      </w:r>
      <w:r w:rsidR="00F94B91" w:rsidRPr="00B929EA">
        <w:rPr>
          <w:sz w:val="24"/>
          <w:szCs w:val="24"/>
        </w:rPr>
        <w:t xml:space="preserve">kazy města Jilemnice za rok </w:t>
      </w:r>
      <w:r w:rsidR="001C3077">
        <w:rPr>
          <w:sz w:val="24"/>
          <w:szCs w:val="24"/>
        </w:rPr>
        <w:t>201</w:t>
      </w:r>
      <w:r w:rsidR="003740F1">
        <w:rPr>
          <w:sz w:val="24"/>
          <w:szCs w:val="24"/>
        </w:rPr>
        <w:t xml:space="preserve">8 </w:t>
      </w:r>
      <w:r w:rsidRPr="00B929EA">
        <w:rPr>
          <w:sz w:val="24"/>
          <w:szCs w:val="24"/>
        </w:rPr>
        <w:t>(výkaz pro hodnocení plnění rozpočtu USC, výkaz zisku a ztráty, rozvaha, příloha)</w:t>
      </w:r>
      <w:r w:rsidR="007B52F7">
        <w:rPr>
          <w:sz w:val="24"/>
          <w:szCs w:val="24"/>
        </w:rPr>
        <w:t xml:space="preserve"> jsou k dispozici na finančním odboru města Jilemnice a zveřejněny na stránkách ministerstva financí ČR:</w:t>
      </w:r>
    </w:p>
    <w:p w:rsidR="00A52233" w:rsidRDefault="00C02ED6" w:rsidP="007B52F7">
      <w:pPr>
        <w:ind w:left="360"/>
        <w:rPr>
          <w:sz w:val="24"/>
          <w:szCs w:val="24"/>
        </w:rPr>
      </w:pPr>
      <w:hyperlink r:id="rId9" w:anchor="prehled" w:history="1">
        <w:r w:rsidR="00E31E05" w:rsidRPr="000449AF">
          <w:rPr>
            <w:rStyle w:val="Hypertextovodkaz"/>
            <w:sz w:val="24"/>
            <w:szCs w:val="24"/>
          </w:rPr>
          <w:t>https://monitor.statnipokladna.cz/2018/obce/detail/00275808#prehled</w:t>
        </w:r>
      </w:hyperlink>
    </w:p>
    <w:p w:rsidR="00E31E05" w:rsidRPr="00A52233" w:rsidRDefault="00E31E05" w:rsidP="007B52F7">
      <w:pPr>
        <w:ind w:left="360"/>
        <w:rPr>
          <w:sz w:val="24"/>
          <w:szCs w:val="24"/>
        </w:rPr>
      </w:pPr>
    </w:p>
    <w:p w:rsidR="00A52233" w:rsidRPr="007B52F7" w:rsidRDefault="00A52233" w:rsidP="007B52F7">
      <w:pPr>
        <w:ind w:left="360"/>
        <w:rPr>
          <w:sz w:val="24"/>
          <w:szCs w:val="24"/>
          <w:highlight w:val="yellow"/>
        </w:rPr>
      </w:pPr>
    </w:p>
    <w:p w:rsidR="00ED03D1" w:rsidRPr="0095369B" w:rsidRDefault="00ED03D1" w:rsidP="00ED03D1">
      <w:pPr>
        <w:rPr>
          <w:sz w:val="24"/>
          <w:szCs w:val="24"/>
        </w:rPr>
      </w:pPr>
      <w:r w:rsidRPr="0095369B">
        <w:rPr>
          <w:sz w:val="24"/>
          <w:szCs w:val="24"/>
        </w:rPr>
        <w:t xml:space="preserve">Závěrečný účet města Jilemnice schválilo ZM dne </w:t>
      </w:r>
      <w:r w:rsidR="003740F1">
        <w:rPr>
          <w:sz w:val="24"/>
          <w:szCs w:val="24"/>
        </w:rPr>
        <w:t>……</w:t>
      </w:r>
      <w:r w:rsidRPr="0095369B">
        <w:rPr>
          <w:sz w:val="24"/>
          <w:szCs w:val="24"/>
        </w:rPr>
        <w:t xml:space="preserve"> pod č. </w:t>
      </w:r>
      <w:proofErr w:type="spellStart"/>
      <w:r w:rsidRPr="0095369B">
        <w:rPr>
          <w:sz w:val="24"/>
          <w:szCs w:val="24"/>
        </w:rPr>
        <w:t>usn</w:t>
      </w:r>
      <w:proofErr w:type="spellEnd"/>
      <w:r w:rsidRPr="0095369B">
        <w:rPr>
          <w:sz w:val="24"/>
          <w:szCs w:val="24"/>
        </w:rPr>
        <w:t xml:space="preserve">. č. </w:t>
      </w:r>
      <w:r w:rsidR="003740F1">
        <w:rPr>
          <w:sz w:val="24"/>
          <w:szCs w:val="24"/>
        </w:rPr>
        <w:t>…</w:t>
      </w:r>
    </w:p>
    <w:p w:rsidR="00D148D2" w:rsidRDefault="00D148D2" w:rsidP="00D148D2">
      <w:pPr>
        <w:rPr>
          <w:sz w:val="24"/>
          <w:szCs w:val="24"/>
          <w:highlight w:val="yellow"/>
        </w:rPr>
      </w:pPr>
    </w:p>
    <w:p w:rsidR="001F170D" w:rsidRPr="001F170D" w:rsidRDefault="001F170D">
      <w:pPr>
        <w:rPr>
          <w:sz w:val="24"/>
          <w:szCs w:val="24"/>
        </w:rPr>
      </w:pPr>
    </w:p>
    <w:p w:rsidR="00A52233" w:rsidRDefault="00131904">
      <w:pPr>
        <w:rPr>
          <w:sz w:val="24"/>
          <w:szCs w:val="24"/>
        </w:rPr>
      </w:pPr>
      <w:r w:rsidRPr="001F170D">
        <w:rPr>
          <w:sz w:val="24"/>
          <w:szCs w:val="24"/>
        </w:rPr>
        <w:t xml:space="preserve">V Jilemnici </w:t>
      </w:r>
      <w:r w:rsidR="00A52233">
        <w:rPr>
          <w:sz w:val="24"/>
          <w:szCs w:val="24"/>
        </w:rPr>
        <w:t>28. 5. 2019</w:t>
      </w:r>
    </w:p>
    <w:p w:rsidR="00BB4481" w:rsidRDefault="00BB4481">
      <w:pPr>
        <w:rPr>
          <w:sz w:val="24"/>
          <w:szCs w:val="24"/>
        </w:rPr>
      </w:pPr>
    </w:p>
    <w:p w:rsidR="00A52233" w:rsidRDefault="00A52233">
      <w:pPr>
        <w:rPr>
          <w:sz w:val="24"/>
          <w:szCs w:val="24"/>
        </w:rPr>
      </w:pPr>
    </w:p>
    <w:p w:rsidR="00131904" w:rsidRPr="001F170D" w:rsidRDefault="001F170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03D1">
        <w:rPr>
          <w:sz w:val="24"/>
          <w:szCs w:val="24"/>
        </w:rPr>
        <w:tab/>
      </w:r>
      <w:r w:rsidR="00ED03D1">
        <w:rPr>
          <w:sz w:val="24"/>
          <w:szCs w:val="24"/>
        </w:rPr>
        <w:tab/>
      </w:r>
      <w:r w:rsidR="00ED03D1">
        <w:rPr>
          <w:sz w:val="24"/>
          <w:szCs w:val="24"/>
        </w:rPr>
        <w:tab/>
      </w:r>
      <w:r w:rsidR="00ED03D1">
        <w:rPr>
          <w:sz w:val="24"/>
          <w:szCs w:val="24"/>
        </w:rPr>
        <w:tab/>
      </w:r>
      <w:r w:rsidR="00ED03D1"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>Ing. Miroslava Kynčlová</w:t>
      </w:r>
    </w:p>
    <w:p w:rsidR="00131904" w:rsidRDefault="001F170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1904" w:rsidRPr="001F170D">
        <w:rPr>
          <w:sz w:val="24"/>
          <w:szCs w:val="24"/>
        </w:rPr>
        <w:t>vedoucí finančního odboru</w:t>
      </w:r>
    </w:p>
    <w:p w:rsidR="00984AA7" w:rsidRDefault="00984AA7">
      <w:pPr>
        <w:rPr>
          <w:sz w:val="24"/>
          <w:szCs w:val="24"/>
        </w:rPr>
      </w:pPr>
    </w:p>
    <w:p w:rsidR="00984AA7" w:rsidRDefault="00984AA7">
      <w:pPr>
        <w:rPr>
          <w:sz w:val="24"/>
          <w:szCs w:val="24"/>
        </w:rPr>
      </w:pPr>
    </w:p>
    <w:p w:rsidR="008839EA" w:rsidRDefault="008A6E62" w:rsidP="008A6E62">
      <w:pPr>
        <w:autoSpaceDE w:val="0"/>
        <w:autoSpaceDN w:val="0"/>
        <w:adjustRightInd w:val="0"/>
        <w:rPr>
          <w:sz w:val="24"/>
          <w:szCs w:val="24"/>
        </w:rPr>
      </w:pPr>
      <w:r w:rsidRPr="008A6E62">
        <w:rPr>
          <w:sz w:val="24"/>
          <w:szCs w:val="24"/>
        </w:rPr>
        <w:t xml:space="preserve">Připomínky k Návrhu závěrečného účtu </w:t>
      </w:r>
      <w:r w:rsidRPr="008A6E62">
        <w:rPr>
          <w:sz w:val="24"/>
          <w:szCs w:val="24"/>
        </w:rPr>
        <w:t>města Jilemnice</w:t>
      </w:r>
      <w:r w:rsidRPr="008A6E62">
        <w:rPr>
          <w:sz w:val="24"/>
          <w:szCs w:val="24"/>
        </w:rPr>
        <w:t xml:space="preserve"> mohou občané uplatnit písemně na podatelnu</w:t>
      </w:r>
      <w:r>
        <w:rPr>
          <w:sz w:val="24"/>
          <w:szCs w:val="24"/>
        </w:rPr>
        <w:t xml:space="preserve"> </w:t>
      </w:r>
      <w:proofErr w:type="spellStart"/>
      <w:r w:rsidRPr="008A6E62">
        <w:rPr>
          <w:sz w:val="24"/>
          <w:szCs w:val="24"/>
        </w:rPr>
        <w:t>MěÚ</w:t>
      </w:r>
      <w:proofErr w:type="spellEnd"/>
      <w:r w:rsidRPr="008A6E62">
        <w:rPr>
          <w:sz w:val="24"/>
          <w:szCs w:val="24"/>
        </w:rPr>
        <w:t xml:space="preserve"> do 18. června 2019 nebo ústně přímo na zasedání </w:t>
      </w:r>
      <w:r w:rsidRPr="008A6E62">
        <w:rPr>
          <w:sz w:val="24"/>
          <w:szCs w:val="24"/>
        </w:rPr>
        <w:t>z</w:t>
      </w:r>
      <w:r w:rsidRPr="008A6E62">
        <w:rPr>
          <w:sz w:val="24"/>
          <w:szCs w:val="24"/>
        </w:rPr>
        <w:t>astupitelstva města.</w:t>
      </w:r>
    </w:p>
    <w:p w:rsidR="008839EA" w:rsidRDefault="008839EA">
      <w:pPr>
        <w:rPr>
          <w:sz w:val="24"/>
          <w:szCs w:val="24"/>
        </w:rPr>
      </w:pPr>
    </w:p>
    <w:p w:rsidR="00984AA7" w:rsidRDefault="00984AA7" w:rsidP="00984AA7">
      <w:bookmarkStart w:id="1" w:name="_GoBack"/>
      <w:bookmarkEnd w:id="1"/>
    </w:p>
    <w:p w:rsidR="00ED03D1" w:rsidRPr="00F73775" w:rsidRDefault="00ED03D1" w:rsidP="00ED03D1">
      <w:r w:rsidRPr="00F73775">
        <w:t xml:space="preserve">V elektronické podobě vyvěšeno </w:t>
      </w:r>
      <w:proofErr w:type="gramStart"/>
      <w:r w:rsidRPr="00F73775">
        <w:t>od</w:t>
      </w:r>
      <w:proofErr w:type="gramEnd"/>
      <w:r w:rsidRPr="00F73775">
        <w:t xml:space="preserve">: </w:t>
      </w:r>
      <w:proofErr w:type="gramStart"/>
      <w:r w:rsidR="00A52233">
        <w:t>28.5.2019</w:t>
      </w:r>
      <w:proofErr w:type="gramEnd"/>
    </w:p>
    <w:p w:rsidR="00ED03D1" w:rsidRPr="00F73775" w:rsidRDefault="00ED03D1" w:rsidP="00ED03D1"/>
    <w:p w:rsidR="00ED03D1" w:rsidRPr="00F73775" w:rsidRDefault="00ED03D1" w:rsidP="00ED03D1">
      <w:r w:rsidRPr="00F73775">
        <w:t xml:space="preserve">V elektronické podobě vyvěšeno </w:t>
      </w:r>
      <w:proofErr w:type="gramStart"/>
      <w:r w:rsidRPr="00F73775">
        <w:t>do</w:t>
      </w:r>
      <w:proofErr w:type="gramEnd"/>
      <w:r w:rsidRPr="00F73775">
        <w:t xml:space="preserve">: </w:t>
      </w:r>
      <w:r w:rsidR="00E31E05">
        <w:t xml:space="preserve"> </w:t>
      </w:r>
    </w:p>
    <w:p w:rsidR="00ED03D1" w:rsidRPr="00F73775" w:rsidRDefault="00ED03D1" w:rsidP="00ED03D1"/>
    <w:p w:rsidR="00ED03D1" w:rsidRPr="00F73775" w:rsidRDefault="00ED03D1" w:rsidP="00ED03D1"/>
    <w:p w:rsidR="00ED03D1" w:rsidRPr="00F73775" w:rsidRDefault="00ED03D1" w:rsidP="00ED03D1">
      <w:r w:rsidRPr="00F73775">
        <w:t>Podpis oprávněné osoby, potvrzující zveřejnění:</w:t>
      </w:r>
    </w:p>
    <w:p w:rsidR="00984AA7" w:rsidRPr="001F170D" w:rsidRDefault="00984AA7" w:rsidP="00ED03D1">
      <w:pPr>
        <w:rPr>
          <w:sz w:val="24"/>
          <w:szCs w:val="24"/>
        </w:rPr>
      </w:pPr>
    </w:p>
    <w:sectPr w:rsidR="00984AA7" w:rsidRPr="001F170D" w:rsidSect="00430EC3">
      <w:headerReference w:type="default" r:id="rId10"/>
      <w:pgSz w:w="11906" w:h="16838" w:code="9"/>
      <w:pgMar w:top="851" w:right="1134" w:bottom="737" w:left="1304" w:header="51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ED6" w:rsidRDefault="00C02ED6">
      <w:r>
        <w:separator/>
      </w:r>
    </w:p>
  </w:endnote>
  <w:endnote w:type="continuationSeparator" w:id="0">
    <w:p w:rsidR="00C02ED6" w:rsidRDefault="00C0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ED6" w:rsidRDefault="00C02ED6">
      <w:r>
        <w:separator/>
      </w:r>
    </w:p>
  </w:footnote>
  <w:footnote w:type="continuationSeparator" w:id="0">
    <w:p w:rsidR="00C02ED6" w:rsidRDefault="00C02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233" w:rsidRDefault="00A52233" w:rsidP="00E12E50">
    <w:pPr>
      <w:pStyle w:val="Zhlav"/>
      <w:ind w:left="36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A6E62">
      <w:rPr>
        <w:noProof/>
      </w:rPr>
      <w:t>7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EE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9E70808"/>
    <w:multiLevelType w:val="hybridMultilevel"/>
    <w:tmpl w:val="86722D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11B03"/>
    <w:multiLevelType w:val="hybridMultilevel"/>
    <w:tmpl w:val="6E24E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658B3"/>
    <w:multiLevelType w:val="singleLevel"/>
    <w:tmpl w:val="18524B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17E84C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FA03EA2"/>
    <w:multiLevelType w:val="hybridMultilevel"/>
    <w:tmpl w:val="1AD0FE1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FA4715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5A0166"/>
    <w:multiLevelType w:val="hybridMultilevel"/>
    <w:tmpl w:val="C016B6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54DB7"/>
    <w:multiLevelType w:val="hybridMultilevel"/>
    <w:tmpl w:val="8AEC045A"/>
    <w:lvl w:ilvl="0" w:tplc="9C72623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5B59DA"/>
    <w:multiLevelType w:val="hybridMultilevel"/>
    <w:tmpl w:val="1C0C5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5042D3"/>
    <w:multiLevelType w:val="hybridMultilevel"/>
    <w:tmpl w:val="E8F6D68E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C18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1992B4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6BF3563"/>
    <w:multiLevelType w:val="hybridMultilevel"/>
    <w:tmpl w:val="3E9EC0C2"/>
    <w:lvl w:ilvl="0" w:tplc="0E90ED0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5834186E"/>
    <w:multiLevelType w:val="hybridMultilevel"/>
    <w:tmpl w:val="B4D4B508"/>
    <w:lvl w:ilvl="0" w:tplc="20AA84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0661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97827FA"/>
    <w:multiLevelType w:val="hybridMultilevel"/>
    <w:tmpl w:val="BF6C35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B52882"/>
    <w:multiLevelType w:val="hybridMultilevel"/>
    <w:tmpl w:val="6E24E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932A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A6E3FEA"/>
    <w:multiLevelType w:val="hybridMultilevel"/>
    <w:tmpl w:val="6E24E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83C68"/>
    <w:multiLevelType w:val="hybridMultilevel"/>
    <w:tmpl w:val="21A2AED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3252BEE"/>
    <w:multiLevelType w:val="hybridMultilevel"/>
    <w:tmpl w:val="663EC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60057"/>
    <w:multiLevelType w:val="singleLevel"/>
    <w:tmpl w:val="84BCC8B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22"/>
  </w:num>
  <w:num w:numId="5">
    <w:abstractNumId w:val="18"/>
  </w:num>
  <w:num w:numId="6">
    <w:abstractNumId w:val="5"/>
  </w:num>
  <w:num w:numId="7">
    <w:abstractNumId w:val="3"/>
  </w:num>
  <w:num w:numId="8">
    <w:abstractNumId w:val="6"/>
  </w:num>
  <w:num w:numId="9">
    <w:abstractNumId w:val="11"/>
  </w:num>
  <w:num w:numId="10">
    <w:abstractNumId w:val="15"/>
  </w:num>
  <w:num w:numId="11">
    <w:abstractNumId w:val="16"/>
  </w:num>
  <w:num w:numId="12">
    <w:abstractNumId w:val="20"/>
  </w:num>
  <w:num w:numId="13">
    <w:abstractNumId w:val="1"/>
  </w:num>
  <w:num w:numId="14">
    <w:abstractNumId w:val="21"/>
  </w:num>
  <w:num w:numId="15">
    <w:abstractNumId w:val="2"/>
  </w:num>
  <w:num w:numId="16">
    <w:abstractNumId w:val="7"/>
  </w:num>
  <w:num w:numId="17">
    <w:abstractNumId w:val="14"/>
  </w:num>
  <w:num w:numId="18">
    <w:abstractNumId w:val="8"/>
  </w:num>
  <w:num w:numId="19">
    <w:abstractNumId w:val="13"/>
  </w:num>
  <w:num w:numId="20">
    <w:abstractNumId w:val="10"/>
  </w:num>
  <w:num w:numId="21">
    <w:abstractNumId w:val="9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5C"/>
    <w:rsid w:val="0000021B"/>
    <w:rsid w:val="00016E09"/>
    <w:rsid w:val="00020EB2"/>
    <w:rsid w:val="00021BD7"/>
    <w:rsid w:val="00023C8A"/>
    <w:rsid w:val="00026CAE"/>
    <w:rsid w:val="00030177"/>
    <w:rsid w:val="00032603"/>
    <w:rsid w:val="000337B0"/>
    <w:rsid w:val="000377D7"/>
    <w:rsid w:val="000436F3"/>
    <w:rsid w:val="00046725"/>
    <w:rsid w:val="000539E4"/>
    <w:rsid w:val="00055CF3"/>
    <w:rsid w:val="000676F8"/>
    <w:rsid w:val="00070A10"/>
    <w:rsid w:val="00071FD2"/>
    <w:rsid w:val="00072638"/>
    <w:rsid w:val="0007337F"/>
    <w:rsid w:val="00073BEE"/>
    <w:rsid w:val="00082EC4"/>
    <w:rsid w:val="00083FBE"/>
    <w:rsid w:val="00084231"/>
    <w:rsid w:val="000858FF"/>
    <w:rsid w:val="00092014"/>
    <w:rsid w:val="000967DC"/>
    <w:rsid w:val="000B3FD4"/>
    <w:rsid w:val="000B41DA"/>
    <w:rsid w:val="000C17AD"/>
    <w:rsid w:val="000C6462"/>
    <w:rsid w:val="000F3C4D"/>
    <w:rsid w:val="000F518D"/>
    <w:rsid w:val="001040F2"/>
    <w:rsid w:val="00104B0B"/>
    <w:rsid w:val="00106D3A"/>
    <w:rsid w:val="00115390"/>
    <w:rsid w:val="00115670"/>
    <w:rsid w:val="00125D08"/>
    <w:rsid w:val="00131904"/>
    <w:rsid w:val="00131E99"/>
    <w:rsid w:val="0013425A"/>
    <w:rsid w:val="00140CA4"/>
    <w:rsid w:val="001433CD"/>
    <w:rsid w:val="00151DC5"/>
    <w:rsid w:val="001569F6"/>
    <w:rsid w:val="001626D5"/>
    <w:rsid w:val="0016572A"/>
    <w:rsid w:val="0017082C"/>
    <w:rsid w:val="001719FC"/>
    <w:rsid w:val="00171BA0"/>
    <w:rsid w:val="00174190"/>
    <w:rsid w:val="00174681"/>
    <w:rsid w:val="001829AE"/>
    <w:rsid w:val="00184C76"/>
    <w:rsid w:val="00187C44"/>
    <w:rsid w:val="001A1BB3"/>
    <w:rsid w:val="001A22DB"/>
    <w:rsid w:val="001A5AC0"/>
    <w:rsid w:val="001B6CBA"/>
    <w:rsid w:val="001C0ED2"/>
    <w:rsid w:val="001C3077"/>
    <w:rsid w:val="001C4635"/>
    <w:rsid w:val="001C7B95"/>
    <w:rsid w:val="001D1A46"/>
    <w:rsid w:val="001D1CC5"/>
    <w:rsid w:val="001D2F80"/>
    <w:rsid w:val="001E20A3"/>
    <w:rsid w:val="001E270C"/>
    <w:rsid w:val="001E5587"/>
    <w:rsid w:val="001E6B9C"/>
    <w:rsid w:val="001F170D"/>
    <w:rsid w:val="001F74E2"/>
    <w:rsid w:val="002015EA"/>
    <w:rsid w:val="0020401C"/>
    <w:rsid w:val="002045DC"/>
    <w:rsid w:val="00206E45"/>
    <w:rsid w:val="00207518"/>
    <w:rsid w:val="002114A7"/>
    <w:rsid w:val="00213D92"/>
    <w:rsid w:val="00213FDB"/>
    <w:rsid w:val="00217CC5"/>
    <w:rsid w:val="00220A52"/>
    <w:rsid w:val="00226B9C"/>
    <w:rsid w:val="002277AC"/>
    <w:rsid w:val="00234FCA"/>
    <w:rsid w:val="0024315E"/>
    <w:rsid w:val="00252A9A"/>
    <w:rsid w:val="00252EC8"/>
    <w:rsid w:val="00253AD6"/>
    <w:rsid w:val="00262E65"/>
    <w:rsid w:val="00265DC1"/>
    <w:rsid w:val="00270F1D"/>
    <w:rsid w:val="00276E2A"/>
    <w:rsid w:val="002843FF"/>
    <w:rsid w:val="00284C17"/>
    <w:rsid w:val="002856CC"/>
    <w:rsid w:val="00285BD5"/>
    <w:rsid w:val="002A3C42"/>
    <w:rsid w:val="002A5EE0"/>
    <w:rsid w:val="002A5F60"/>
    <w:rsid w:val="002C12C1"/>
    <w:rsid w:val="002C191D"/>
    <w:rsid w:val="002C5C92"/>
    <w:rsid w:val="002C6231"/>
    <w:rsid w:val="002C7D24"/>
    <w:rsid w:val="002D4653"/>
    <w:rsid w:val="002E0CC6"/>
    <w:rsid w:val="002E74F9"/>
    <w:rsid w:val="002E7723"/>
    <w:rsid w:val="002F28BB"/>
    <w:rsid w:val="002F7DFC"/>
    <w:rsid w:val="00301E1E"/>
    <w:rsid w:val="00305D01"/>
    <w:rsid w:val="003076FB"/>
    <w:rsid w:val="00312566"/>
    <w:rsid w:val="00312F31"/>
    <w:rsid w:val="00314781"/>
    <w:rsid w:val="0031774D"/>
    <w:rsid w:val="00322FE9"/>
    <w:rsid w:val="003231F8"/>
    <w:rsid w:val="003275E5"/>
    <w:rsid w:val="00330D6D"/>
    <w:rsid w:val="00335A33"/>
    <w:rsid w:val="00345C65"/>
    <w:rsid w:val="0036126E"/>
    <w:rsid w:val="003659AC"/>
    <w:rsid w:val="003740F1"/>
    <w:rsid w:val="00374591"/>
    <w:rsid w:val="00375209"/>
    <w:rsid w:val="00377BC4"/>
    <w:rsid w:val="00381C88"/>
    <w:rsid w:val="003836D1"/>
    <w:rsid w:val="00384051"/>
    <w:rsid w:val="00387622"/>
    <w:rsid w:val="00392D54"/>
    <w:rsid w:val="003961F0"/>
    <w:rsid w:val="00397D92"/>
    <w:rsid w:val="003A3CDB"/>
    <w:rsid w:val="003A54F1"/>
    <w:rsid w:val="003A7F3A"/>
    <w:rsid w:val="003B345D"/>
    <w:rsid w:val="003B6EAB"/>
    <w:rsid w:val="003B7FD9"/>
    <w:rsid w:val="003C1E33"/>
    <w:rsid w:val="003D3A9E"/>
    <w:rsid w:val="003E148C"/>
    <w:rsid w:val="003E1A0D"/>
    <w:rsid w:val="003E241C"/>
    <w:rsid w:val="003E460F"/>
    <w:rsid w:val="003E57FF"/>
    <w:rsid w:val="003F6A0A"/>
    <w:rsid w:val="003F70CC"/>
    <w:rsid w:val="004045E7"/>
    <w:rsid w:val="00405223"/>
    <w:rsid w:val="004117F5"/>
    <w:rsid w:val="0041323B"/>
    <w:rsid w:val="00414C9A"/>
    <w:rsid w:val="00416CD0"/>
    <w:rsid w:val="00430EC3"/>
    <w:rsid w:val="00437BB0"/>
    <w:rsid w:val="00447DF2"/>
    <w:rsid w:val="0046018B"/>
    <w:rsid w:val="00465AA4"/>
    <w:rsid w:val="00465B34"/>
    <w:rsid w:val="00485AC6"/>
    <w:rsid w:val="00493FC1"/>
    <w:rsid w:val="004949FF"/>
    <w:rsid w:val="00494F15"/>
    <w:rsid w:val="004979C4"/>
    <w:rsid w:val="004A0BD8"/>
    <w:rsid w:val="004A28D3"/>
    <w:rsid w:val="004B0C72"/>
    <w:rsid w:val="004B5A15"/>
    <w:rsid w:val="004E1D1E"/>
    <w:rsid w:val="004E3CAB"/>
    <w:rsid w:val="004F4F06"/>
    <w:rsid w:val="004F530A"/>
    <w:rsid w:val="004F73D4"/>
    <w:rsid w:val="005048FB"/>
    <w:rsid w:val="00505622"/>
    <w:rsid w:val="005120ED"/>
    <w:rsid w:val="00514F0B"/>
    <w:rsid w:val="00515190"/>
    <w:rsid w:val="00522E21"/>
    <w:rsid w:val="00532637"/>
    <w:rsid w:val="00544F84"/>
    <w:rsid w:val="00555EBB"/>
    <w:rsid w:val="00560C11"/>
    <w:rsid w:val="00562F34"/>
    <w:rsid w:val="00563FE3"/>
    <w:rsid w:val="005643D0"/>
    <w:rsid w:val="00573F11"/>
    <w:rsid w:val="00583541"/>
    <w:rsid w:val="00586456"/>
    <w:rsid w:val="005A1A30"/>
    <w:rsid w:val="005B1DAF"/>
    <w:rsid w:val="005B7D3F"/>
    <w:rsid w:val="005C7E30"/>
    <w:rsid w:val="005E0E33"/>
    <w:rsid w:val="005E0F4F"/>
    <w:rsid w:val="005E467E"/>
    <w:rsid w:val="005F5943"/>
    <w:rsid w:val="00601444"/>
    <w:rsid w:val="0060244C"/>
    <w:rsid w:val="00603232"/>
    <w:rsid w:val="00606B4C"/>
    <w:rsid w:val="006172E5"/>
    <w:rsid w:val="006202F4"/>
    <w:rsid w:val="00620923"/>
    <w:rsid w:val="006326C6"/>
    <w:rsid w:val="006339B9"/>
    <w:rsid w:val="0063723B"/>
    <w:rsid w:val="006522C1"/>
    <w:rsid w:val="00653207"/>
    <w:rsid w:val="006555E2"/>
    <w:rsid w:val="00661D99"/>
    <w:rsid w:val="006629B4"/>
    <w:rsid w:val="00663C22"/>
    <w:rsid w:val="00665069"/>
    <w:rsid w:val="00665DB7"/>
    <w:rsid w:val="0067056D"/>
    <w:rsid w:val="00671CF7"/>
    <w:rsid w:val="006730C0"/>
    <w:rsid w:val="006731CC"/>
    <w:rsid w:val="00674A48"/>
    <w:rsid w:val="00676C90"/>
    <w:rsid w:val="00681819"/>
    <w:rsid w:val="00681B21"/>
    <w:rsid w:val="0068257E"/>
    <w:rsid w:val="00683748"/>
    <w:rsid w:val="006847FE"/>
    <w:rsid w:val="0068662D"/>
    <w:rsid w:val="00690218"/>
    <w:rsid w:val="00691954"/>
    <w:rsid w:val="00696131"/>
    <w:rsid w:val="006A6C24"/>
    <w:rsid w:val="006A6FB9"/>
    <w:rsid w:val="006B1BC0"/>
    <w:rsid w:val="006B2564"/>
    <w:rsid w:val="006B54BF"/>
    <w:rsid w:val="006B612F"/>
    <w:rsid w:val="006C0D28"/>
    <w:rsid w:val="006C0DFD"/>
    <w:rsid w:val="006C11FB"/>
    <w:rsid w:val="006D458F"/>
    <w:rsid w:val="006D4F54"/>
    <w:rsid w:val="006D4FD2"/>
    <w:rsid w:val="006E499C"/>
    <w:rsid w:val="006E6025"/>
    <w:rsid w:val="006E6913"/>
    <w:rsid w:val="006F20E6"/>
    <w:rsid w:val="006F22C2"/>
    <w:rsid w:val="006F3E85"/>
    <w:rsid w:val="006F728D"/>
    <w:rsid w:val="006F7D83"/>
    <w:rsid w:val="0070558B"/>
    <w:rsid w:val="00706278"/>
    <w:rsid w:val="00707054"/>
    <w:rsid w:val="00710D87"/>
    <w:rsid w:val="007301B6"/>
    <w:rsid w:val="00731C3D"/>
    <w:rsid w:val="00732DB7"/>
    <w:rsid w:val="007425DC"/>
    <w:rsid w:val="00767144"/>
    <w:rsid w:val="00773868"/>
    <w:rsid w:val="00775002"/>
    <w:rsid w:val="00775869"/>
    <w:rsid w:val="00775973"/>
    <w:rsid w:val="007827C5"/>
    <w:rsid w:val="007837AD"/>
    <w:rsid w:val="007864C4"/>
    <w:rsid w:val="0079202E"/>
    <w:rsid w:val="007A17E3"/>
    <w:rsid w:val="007A42B0"/>
    <w:rsid w:val="007A6208"/>
    <w:rsid w:val="007B21EB"/>
    <w:rsid w:val="007B3020"/>
    <w:rsid w:val="007B4354"/>
    <w:rsid w:val="007B52F7"/>
    <w:rsid w:val="007B6CBE"/>
    <w:rsid w:val="007C55AB"/>
    <w:rsid w:val="007D21BE"/>
    <w:rsid w:val="007D65C9"/>
    <w:rsid w:val="007D6E98"/>
    <w:rsid w:val="007D76AB"/>
    <w:rsid w:val="007E4A1F"/>
    <w:rsid w:val="007E5D8C"/>
    <w:rsid w:val="007E7AD6"/>
    <w:rsid w:val="007F1072"/>
    <w:rsid w:val="007F190B"/>
    <w:rsid w:val="007F260E"/>
    <w:rsid w:val="007F62CC"/>
    <w:rsid w:val="007F70BD"/>
    <w:rsid w:val="00802A00"/>
    <w:rsid w:val="00802AA2"/>
    <w:rsid w:val="008158D4"/>
    <w:rsid w:val="0081721D"/>
    <w:rsid w:val="0082796F"/>
    <w:rsid w:val="00830A9E"/>
    <w:rsid w:val="00833B25"/>
    <w:rsid w:val="008359D3"/>
    <w:rsid w:val="00843029"/>
    <w:rsid w:val="008443C7"/>
    <w:rsid w:val="00852ED7"/>
    <w:rsid w:val="008545DE"/>
    <w:rsid w:val="00856D72"/>
    <w:rsid w:val="008602BE"/>
    <w:rsid w:val="008619A3"/>
    <w:rsid w:val="00866CF1"/>
    <w:rsid w:val="00872D5A"/>
    <w:rsid w:val="00874A09"/>
    <w:rsid w:val="00875148"/>
    <w:rsid w:val="008812D0"/>
    <w:rsid w:val="008839EA"/>
    <w:rsid w:val="00884D64"/>
    <w:rsid w:val="008854EF"/>
    <w:rsid w:val="008867DD"/>
    <w:rsid w:val="0089024B"/>
    <w:rsid w:val="00890C1A"/>
    <w:rsid w:val="00892D6F"/>
    <w:rsid w:val="00892FDF"/>
    <w:rsid w:val="00893673"/>
    <w:rsid w:val="008A090F"/>
    <w:rsid w:val="008A6E62"/>
    <w:rsid w:val="008B05EC"/>
    <w:rsid w:val="008B38D2"/>
    <w:rsid w:val="008B7995"/>
    <w:rsid w:val="008C23B8"/>
    <w:rsid w:val="008C2887"/>
    <w:rsid w:val="008C4587"/>
    <w:rsid w:val="008C66EB"/>
    <w:rsid w:val="008C67D7"/>
    <w:rsid w:val="008C77BB"/>
    <w:rsid w:val="008D093F"/>
    <w:rsid w:val="008D478F"/>
    <w:rsid w:val="008D6BA0"/>
    <w:rsid w:val="008D76E0"/>
    <w:rsid w:val="008E0312"/>
    <w:rsid w:val="008E1CBF"/>
    <w:rsid w:val="008E3029"/>
    <w:rsid w:val="008E35B4"/>
    <w:rsid w:val="008E72FC"/>
    <w:rsid w:val="008F3CEE"/>
    <w:rsid w:val="008F69AF"/>
    <w:rsid w:val="00907E5A"/>
    <w:rsid w:val="00914951"/>
    <w:rsid w:val="00915EA2"/>
    <w:rsid w:val="00915EF9"/>
    <w:rsid w:val="00916C8A"/>
    <w:rsid w:val="00922CD8"/>
    <w:rsid w:val="009237B8"/>
    <w:rsid w:val="00925686"/>
    <w:rsid w:val="0093590F"/>
    <w:rsid w:val="00942C8F"/>
    <w:rsid w:val="00947A68"/>
    <w:rsid w:val="00952F2D"/>
    <w:rsid w:val="00953F10"/>
    <w:rsid w:val="00957F69"/>
    <w:rsid w:val="00970A6F"/>
    <w:rsid w:val="0098109E"/>
    <w:rsid w:val="0098300E"/>
    <w:rsid w:val="00983DD3"/>
    <w:rsid w:val="00984AA7"/>
    <w:rsid w:val="00985E2A"/>
    <w:rsid w:val="00991C6C"/>
    <w:rsid w:val="009A0EE4"/>
    <w:rsid w:val="009B1804"/>
    <w:rsid w:val="009B1924"/>
    <w:rsid w:val="009C1E56"/>
    <w:rsid w:val="009D6905"/>
    <w:rsid w:val="009D6F49"/>
    <w:rsid w:val="009D7115"/>
    <w:rsid w:val="009E19BC"/>
    <w:rsid w:val="009E419B"/>
    <w:rsid w:val="009E56D7"/>
    <w:rsid w:val="009F219B"/>
    <w:rsid w:val="009F7388"/>
    <w:rsid w:val="009F75D2"/>
    <w:rsid w:val="00A05C65"/>
    <w:rsid w:val="00A1440F"/>
    <w:rsid w:val="00A21168"/>
    <w:rsid w:val="00A232A0"/>
    <w:rsid w:val="00A307D1"/>
    <w:rsid w:val="00A352E1"/>
    <w:rsid w:val="00A41C8D"/>
    <w:rsid w:val="00A46152"/>
    <w:rsid w:val="00A50C9B"/>
    <w:rsid w:val="00A52233"/>
    <w:rsid w:val="00A54914"/>
    <w:rsid w:val="00A61173"/>
    <w:rsid w:val="00A639A9"/>
    <w:rsid w:val="00A75E4C"/>
    <w:rsid w:val="00A772F3"/>
    <w:rsid w:val="00A81CA0"/>
    <w:rsid w:val="00A8409E"/>
    <w:rsid w:val="00A875B8"/>
    <w:rsid w:val="00A8783F"/>
    <w:rsid w:val="00A930AC"/>
    <w:rsid w:val="00A948DD"/>
    <w:rsid w:val="00A96B1D"/>
    <w:rsid w:val="00AA17D4"/>
    <w:rsid w:val="00AA2062"/>
    <w:rsid w:val="00AA5CA4"/>
    <w:rsid w:val="00AB07CE"/>
    <w:rsid w:val="00AB35DC"/>
    <w:rsid w:val="00AC2D79"/>
    <w:rsid w:val="00AC6A0A"/>
    <w:rsid w:val="00AC7FB0"/>
    <w:rsid w:val="00AD1623"/>
    <w:rsid w:val="00AD28CF"/>
    <w:rsid w:val="00AE111D"/>
    <w:rsid w:val="00AF2D43"/>
    <w:rsid w:val="00AF3681"/>
    <w:rsid w:val="00B00B6C"/>
    <w:rsid w:val="00B132C2"/>
    <w:rsid w:val="00B22A03"/>
    <w:rsid w:val="00B32009"/>
    <w:rsid w:val="00B42683"/>
    <w:rsid w:val="00B461A4"/>
    <w:rsid w:val="00B531C6"/>
    <w:rsid w:val="00B53EA9"/>
    <w:rsid w:val="00B63793"/>
    <w:rsid w:val="00B65AC0"/>
    <w:rsid w:val="00B67E78"/>
    <w:rsid w:val="00B72C5A"/>
    <w:rsid w:val="00B735F4"/>
    <w:rsid w:val="00B81E1E"/>
    <w:rsid w:val="00B82EDF"/>
    <w:rsid w:val="00B866BF"/>
    <w:rsid w:val="00B929C6"/>
    <w:rsid w:val="00B929EA"/>
    <w:rsid w:val="00B9413F"/>
    <w:rsid w:val="00BA01D4"/>
    <w:rsid w:val="00BB228B"/>
    <w:rsid w:val="00BB4481"/>
    <w:rsid w:val="00BC1283"/>
    <w:rsid w:val="00BC489B"/>
    <w:rsid w:val="00BC59F9"/>
    <w:rsid w:val="00BD7DE7"/>
    <w:rsid w:val="00BE4363"/>
    <w:rsid w:val="00BF3990"/>
    <w:rsid w:val="00BF5284"/>
    <w:rsid w:val="00C02095"/>
    <w:rsid w:val="00C02ED6"/>
    <w:rsid w:val="00C1301C"/>
    <w:rsid w:val="00C14EF4"/>
    <w:rsid w:val="00C21257"/>
    <w:rsid w:val="00C30BBD"/>
    <w:rsid w:val="00C33596"/>
    <w:rsid w:val="00C44A7D"/>
    <w:rsid w:val="00C462A3"/>
    <w:rsid w:val="00C466B1"/>
    <w:rsid w:val="00C479FF"/>
    <w:rsid w:val="00C47AA9"/>
    <w:rsid w:val="00C51214"/>
    <w:rsid w:val="00C530F8"/>
    <w:rsid w:val="00C74102"/>
    <w:rsid w:val="00C74122"/>
    <w:rsid w:val="00C8088C"/>
    <w:rsid w:val="00C818A7"/>
    <w:rsid w:val="00C90BD9"/>
    <w:rsid w:val="00C9373F"/>
    <w:rsid w:val="00C942F3"/>
    <w:rsid w:val="00CA0874"/>
    <w:rsid w:val="00CA41AC"/>
    <w:rsid w:val="00CA45C3"/>
    <w:rsid w:val="00CB7FB6"/>
    <w:rsid w:val="00CD59EE"/>
    <w:rsid w:val="00CD7082"/>
    <w:rsid w:val="00CD7442"/>
    <w:rsid w:val="00CE3C00"/>
    <w:rsid w:val="00CF3F57"/>
    <w:rsid w:val="00CF74A3"/>
    <w:rsid w:val="00D11CCD"/>
    <w:rsid w:val="00D148D2"/>
    <w:rsid w:val="00D16405"/>
    <w:rsid w:val="00D27576"/>
    <w:rsid w:val="00D30625"/>
    <w:rsid w:val="00D42BC4"/>
    <w:rsid w:val="00D47AEA"/>
    <w:rsid w:val="00D51B0E"/>
    <w:rsid w:val="00D61E2C"/>
    <w:rsid w:val="00D627D1"/>
    <w:rsid w:val="00D705EC"/>
    <w:rsid w:val="00D7339F"/>
    <w:rsid w:val="00D7635A"/>
    <w:rsid w:val="00D924E7"/>
    <w:rsid w:val="00D95554"/>
    <w:rsid w:val="00D956ED"/>
    <w:rsid w:val="00DA3005"/>
    <w:rsid w:val="00DA60EB"/>
    <w:rsid w:val="00DB55FE"/>
    <w:rsid w:val="00DC1068"/>
    <w:rsid w:val="00DC2FD2"/>
    <w:rsid w:val="00DD18B8"/>
    <w:rsid w:val="00DD77EE"/>
    <w:rsid w:val="00DF2B1E"/>
    <w:rsid w:val="00DF7C06"/>
    <w:rsid w:val="00E01602"/>
    <w:rsid w:val="00E11B21"/>
    <w:rsid w:val="00E12E50"/>
    <w:rsid w:val="00E1774E"/>
    <w:rsid w:val="00E22D84"/>
    <w:rsid w:val="00E24AD5"/>
    <w:rsid w:val="00E3078D"/>
    <w:rsid w:val="00E31E05"/>
    <w:rsid w:val="00E34FC5"/>
    <w:rsid w:val="00E63626"/>
    <w:rsid w:val="00E7139D"/>
    <w:rsid w:val="00E71B24"/>
    <w:rsid w:val="00E76A49"/>
    <w:rsid w:val="00E80218"/>
    <w:rsid w:val="00E80A45"/>
    <w:rsid w:val="00E817A8"/>
    <w:rsid w:val="00E82582"/>
    <w:rsid w:val="00E94E0C"/>
    <w:rsid w:val="00E966EB"/>
    <w:rsid w:val="00EA311A"/>
    <w:rsid w:val="00EA4B30"/>
    <w:rsid w:val="00EB5B24"/>
    <w:rsid w:val="00EB6360"/>
    <w:rsid w:val="00EB6555"/>
    <w:rsid w:val="00EC0377"/>
    <w:rsid w:val="00EC215F"/>
    <w:rsid w:val="00ED03D1"/>
    <w:rsid w:val="00ED08CB"/>
    <w:rsid w:val="00ED0FE0"/>
    <w:rsid w:val="00ED0FFE"/>
    <w:rsid w:val="00ED2613"/>
    <w:rsid w:val="00ED351D"/>
    <w:rsid w:val="00ED440C"/>
    <w:rsid w:val="00EE22D7"/>
    <w:rsid w:val="00EE5FBC"/>
    <w:rsid w:val="00EF181D"/>
    <w:rsid w:val="00EF1A59"/>
    <w:rsid w:val="00F00D19"/>
    <w:rsid w:val="00F1247F"/>
    <w:rsid w:val="00F170FE"/>
    <w:rsid w:val="00F204CF"/>
    <w:rsid w:val="00F2499B"/>
    <w:rsid w:val="00F3551D"/>
    <w:rsid w:val="00F53A35"/>
    <w:rsid w:val="00F55720"/>
    <w:rsid w:val="00F63EA6"/>
    <w:rsid w:val="00F65085"/>
    <w:rsid w:val="00F70B2D"/>
    <w:rsid w:val="00F71F85"/>
    <w:rsid w:val="00F7327A"/>
    <w:rsid w:val="00F742F5"/>
    <w:rsid w:val="00F94B91"/>
    <w:rsid w:val="00F95B3D"/>
    <w:rsid w:val="00F96055"/>
    <w:rsid w:val="00F96FE4"/>
    <w:rsid w:val="00F977DD"/>
    <w:rsid w:val="00FA1760"/>
    <w:rsid w:val="00FA2203"/>
    <w:rsid w:val="00FA778B"/>
    <w:rsid w:val="00FB189D"/>
    <w:rsid w:val="00FB2711"/>
    <w:rsid w:val="00FB4EA6"/>
    <w:rsid w:val="00FB588C"/>
    <w:rsid w:val="00FB5D5C"/>
    <w:rsid w:val="00FB72DC"/>
    <w:rsid w:val="00FE3110"/>
    <w:rsid w:val="00FF0D5A"/>
    <w:rsid w:val="00FF1E5E"/>
    <w:rsid w:val="00FF65FD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napToGrid w:val="0"/>
      <w:color w:val="00000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napToGrid w:val="0"/>
      <w:color w:val="000000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rFonts w:ascii="Arial" w:hAnsi="Arial"/>
      <w:b/>
      <w:snapToGrid w:val="0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kladntext2">
    <w:name w:val="Body Text 2"/>
    <w:basedOn w:val="Normln"/>
    <w:rPr>
      <w:sz w:val="24"/>
    </w:rPr>
  </w:style>
  <w:style w:type="paragraph" w:customStyle="1" w:styleId="Odstavec">
    <w:name w:val="Odstavec"/>
    <w:basedOn w:val="Normln"/>
    <w:pPr>
      <w:suppressAutoHyphens/>
      <w:spacing w:after="115" w:line="276" w:lineRule="auto"/>
      <w:ind w:firstLine="480"/>
      <w:jc w:val="both"/>
    </w:pPr>
    <w:rPr>
      <w:sz w:val="24"/>
    </w:rPr>
  </w:style>
  <w:style w:type="paragraph" w:styleId="Nzev">
    <w:name w:val="Title"/>
    <w:basedOn w:val="Normln"/>
    <w:qFormat/>
    <w:rsid w:val="004B5A15"/>
    <w:pPr>
      <w:jc w:val="center"/>
    </w:pPr>
    <w:rPr>
      <w:b/>
      <w:sz w:val="28"/>
    </w:rPr>
  </w:style>
  <w:style w:type="paragraph" w:styleId="Zkladntextodsazen">
    <w:name w:val="Body Text Indent"/>
    <w:basedOn w:val="Normln"/>
    <w:rsid w:val="00B42683"/>
    <w:pPr>
      <w:spacing w:after="120"/>
      <w:ind w:left="283"/>
    </w:pPr>
  </w:style>
  <w:style w:type="paragraph" w:styleId="Rozloendokumentu">
    <w:name w:val="Document Map"/>
    <w:basedOn w:val="Normln"/>
    <w:semiHidden/>
    <w:rsid w:val="00E12E50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E12E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12E5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9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72C5A"/>
    <w:rPr>
      <w:color w:val="0000FF"/>
      <w:u w:val="single"/>
    </w:rPr>
  </w:style>
  <w:style w:type="paragraph" w:customStyle="1" w:styleId="Normln1">
    <w:name w:val="Normální1"/>
    <w:rsid w:val="00384051"/>
    <w:pPr>
      <w:widowControl w:val="0"/>
    </w:pPr>
    <w:rPr>
      <w:snapToGrid w:val="0"/>
      <w:sz w:val="24"/>
    </w:rPr>
  </w:style>
  <w:style w:type="paragraph" w:styleId="Textbubliny">
    <w:name w:val="Balloon Text"/>
    <w:basedOn w:val="Normln"/>
    <w:link w:val="TextbublinyChar"/>
    <w:rsid w:val="009F21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21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6B1BC0"/>
  </w:style>
  <w:style w:type="paragraph" w:customStyle="1" w:styleId="Normln2">
    <w:name w:val="Normální2"/>
    <w:rsid w:val="00B53EA9"/>
    <w:pPr>
      <w:widowControl w:val="0"/>
    </w:pPr>
    <w:rPr>
      <w:snapToGrid w:val="0"/>
      <w:sz w:val="24"/>
    </w:rPr>
  </w:style>
  <w:style w:type="paragraph" w:customStyle="1" w:styleId="Normln3">
    <w:name w:val="Normální3"/>
    <w:rsid w:val="009237B8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7B5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napToGrid w:val="0"/>
      <w:color w:val="00000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napToGrid w:val="0"/>
      <w:color w:val="000000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rFonts w:ascii="Arial" w:hAnsi="Arial"/>
      <w:b/>
      <w:snapToGrid w:val="0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kladntext2">
    <w:name w:val="Body Text 2"/>
    <w:basedOn w:val="Normln"/>
    <w:rPr>
      <w:sz w:val="24"/>
    </w:rPr>
  </w:style>
  <w:style w:type="paragraph" w:customStyle="1" w:styleId="Odstavec">
    <w:name w:val="Odstavec"/>
    <w:basedOn w:val="Normln"/>
    <w:pPr>
      <w:suppressAutoHyphens/>
      <w:spacing w:after="115" w:line="276" w:lineRule="auto"/>
      <w:ind w:firstLine="480"/>
      <w:jc w:val="both"/>
    </w:pPr>
    <w:rPr>
      <w:sz w:val="24"/>
    </w:rPr>
  </w:style>
  <w:style w:type="paragraph" w:styleId="Nzev">
    <w:name w:val="Title"/>
    <w:basedOn w:val="Normln"/>
    <w:qFormat/>
    <w:rsid w:val="004B5A15"/>
    <w:pPr>
      <w:jc w:val="center"/>
    </w:pPr>
    <w:rPr>
      <w:b/>
      <w:sz w:val="28"/>
    </w:rPr>
  </w:style>
  <w:style w:type="paragraph" w:styleId="Zkladntextodsazen">
    <w:name w:val="Body Text Indent"/>
    <w:basedOn w:val="Normln"/>
    <w:rsid w:val="00B42683"/>
    <w:pPr>
      <w:spacing w:after="120"/>
      <w:ind w:left="283"/>
    </w:pPr>
  </w:style>
  <w:style w:type="paragraph" w:styleId="Rozloendokumentu">
    <w:name w:val="Document Map"/>
    <w:basedOn w:val="Normln"/>
    <w:semiHidden/>
    <w:rsid w:val="00E12E50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E12E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12E5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9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B72C5A"/>
    <w:rPr>
      <w:color w:val="0000FF"/>
      <w:u w:val="single"/>
    </w:rPr>
  </w:style>
  <w:style w:type="paragraph" w:customStyle="1" w:styleId="Normln1">
    <w:name w:val="Normální1"/>
    <w:rsid w:val="00384051"/>
    <w:pPr>
      <w:widowControl w:val="0"/>
    </w:pPr>
    <w:rPr>
      <w:snapToGrid w:val="0"/>
      <w:sz w:val="24"/>
    </w:rPr>
  </w:style>
  <w:style w:type="paragraph" w:styleId="Textbubliny">
    <w:name w:val="Balloon Text"/>
    <w:basedOn w:val="Normln"/>
    <w:link w:val="TextbublinyChar"/>
    <w:rsid w:val="009F21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21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6B1BC0"/>
  </w:style>
  <w:style w:type="paragraph" w:customStyle="1" w:styleId="Normln2">
    <w:name w:val="Normální2"/>
    <w:rsid w:val="00B53EA9"/>
    <w:pPr>
      <w:widowControl w:val="0"/>
    </w:pPr>
    <w:rPr>
      <w:snapToGrid w:val="0"/>
      <w:sz w:val="24"/>
    </w:rPr>
  </w:style>
  <w:style w:type="paragraph" w:customStyle="1" w:styleId="Normln3">
    <w:name w:val="Normální3"/>
    <w:rsid w:val="009237B8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7B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onitor.statnipokladna.cz/2018/obce/detail/00275808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940C3-8D15-4F31-942D-9594525F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8</Pages>
  <Words>3369</Words>
  <Characters>19883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závěrečného účtu Města Jilemnice za rok 2001</vt:lpstr>
    </vt:vector>
  </TitlesOfParts>
  <Company>Jilemnice</Company>
  <LinksUpToDate>false</LinksUpToDate>
  <CharactersWithSpaces>23206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http://monitor.statnipokladna.cz/2014/obce/detail/00275808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závěrečného účtu Města Jilemnice za rok 2001</dc:title>
  <dc:creator>Jilemnice</dc:creator>
  <cp:lastModifiedBy>Město Jilemnice</cp:lastModifiedBy>
  <cp:revision>20</cp:revision>
  <cp:lastPrinted>2019-05-28T06:37:00Z</cp:lastPrinted>
  <dcterms:created xsi:type="dcterms:W3CDTF">2019-04-02T09:45:00Z</dcterms:created>
  <dcterms:modified xsi:type="dcterms:W3CDTF">2019-05-30T07:53:00Z</dcterms:modified>
</cp:coreProperties>
</file>