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C6B3" w14:textId="27351438" w:rsidR="00F81A88" w:rsidRPr="00370609" w:rsidRDefault="00EA10C7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609">
        <w:rPr>
          <w:rFonts w:ascii="Times New Roman" w:hAnsi="Times New Roman" w:cs="Times New Roman"/>
          <w:b/>
          <w:bCs/>
          <w:sz w:val="28"/>
          <w:szCs w:val="28"/>
        </w:rPr>
        <w:t>Veřejnoprávní s</w:t>
      </w:r>
      <w:r w:rsidR="00F81A88" w:rsidRPr="00370609">
        <w:rPr>
          <w:rFonts w:ascii="Times New Roman" w:hAnsi="Times New Roman" w:cs="Times New Roman"/>
          <w:b/>
          <w:bCs/>
          <w:sz w:val="28"/>
          <w:szCs w:val="28"/>
        </w:rPr>
        <w:t xml:space="preserve">mlouva o poskytnutí </w:t>
      </w:r>
      <w:r w:rsidRPr="00370609">
        <w:rPr>
          <w:rFonts w:ascii="Times New Roman" w:hAnsi="Times New Roman" w:cs="Times New Roman"/>
          <w:b/>
          <w:bCs/>
          <w:sz w:val="28"/>
          <w:szCs w:val="28"/>
        </w:rPr>
        <w:t>příspěvku</w:t>
      </w:r>
      <w:r w:rsidR="00F81A88" w:rsidRPr="00370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7231" w:rsidRPr="00370609">
        <w:rPr>
          <w:rFonts w:ascii="Times New Roman" w:hAnsi="Times New Roman" w:cs="Times New Roman"/>
          <w:b/>
          <w:bCs/>
          <w:sz w:val="28"/>
          <w:szCs w:val="28"/>
        </w:rPr>
        <w:t xml:space="preserve">zřizovatele </w:t>
      </w:r>
      <w:r w:rsidRPr="00370609">
        <w:rPr>
          <w:rFonts w:ascii="Times New Roman" w:hAnsi="Times New Roman" w:cs="Times New Roman"/>
          <w:b/>
          <w:bCs/>
          <w:sz w:val="28"/>
          <w:szCs w:val="28"/>
        </w:rPr>
        <w:t>na poskytování služeb v obecném hospodářském zájmu z rozpočtu města Jilemnice</w:t>
      </w:r>
      <w:r w:rsidR="00C07231" w:rsidRPr="00370609">
        <w:rPr>
          <w:rFonts w:ascii="Times New Roman" w:hAnsi="Times New Roman" w:cs="Times New Roman"/>
          <w:b/>
          <w:bCs/>
          <w:sz w:val="28"/>
          <w:szCs w:val="28"/>
        </w:rPr>
        <w:t xml:space="preserve"> na rok 202</w:t>
      </w:r>
      <w:r w:rsidR="00C41723" w:rsidRPr="0037060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65B675F" w14:textId="2B6EDE58" w:rsidR="00C07231" w:rsidRPr="00370609" w:rsidRDefault="00C07231" w:rsidP="00C07231">
      <w:pPr>
        <w:spacing w:after="0" w:line="259" w:lineRule="auto"/>
        <w:jc w:val="center"/>
        <w:rPr>
          <w:rFonts w:ascii="Times New Roman" w:hAnsi="Times New Roman" w:cs="Times New Roman"/>
          <w:sz w:val="28"/>
        </w:rPr>
      </w:pPr>
      <w:r w:rsidRPr="00370609">
        <w:rPr>
          <w:rFonts w:ascii="Times New Roman" w:hAnsi="Times New Roman" w:cs="Times New Roman"/>
          <w:sz w:val="28"/>
        </w:rPr>
        <w:t xml:space="preserve">Číslo GPSS </w:t>
      </w:r>
      <w:proofErr w:type="gramStart"/>
      <w:r w:rsidR="00626EBB" w:rsidRPr="00370609">
        <w:rPr>
          <w:rFonts w:ascii="Times New Roman" w:hAnsi="Times New Roman" w:cs="Times New Roman"/>
          <w:sz w:val="28"/>
        </w:rPr>
        <w:t>….</w:t>
      </w:r>
      <w:r w:rsidRPr="00370609">
        <w:rPr>
          <w:rFonts w:ascii="Times New Roman" w:hAnsi="Times New Roman" w:cs="Times New Roman"/>
          <w:sz w:val="28"/>
        </w:rPr>
        <w:t>/202</w:t>
      </w:r>
      <w:r w:rsidR="00C41723" w:rsidRPr="00370609">
        <w:rPr>
          <w:rFonts w:ascii="Times New Roman" w:hAnsi="Times New Roman" w:cs="Times New Roman"/>
          <w:sz w:val="28"/>
        </w:rPr>
        <w:t>4</w:t>
      </w:r>
      <w:proofErr w:type="gramEnd"/>
    </w:p>
    <w:p w14:paraId="59FDB8E9" w14:textId="56E8D1A8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 xml:space="preserve">Schválená </w:t>
      </w:r>
      <w:r w:rsidR="00FF6BB0" w:rsidRPr="00370609">
        <w:rPr>
          <w:rFonts w:ascii="Times New Roman" w:hAnsi="Times New Roman" w:cs="Times New Roman"/>
        </w:rPr>
        <w:t xml:space="preserve">Zastupitelstvem </w:t>
      </w:r>
      <w:r w:rsidRPr="00370609">
        <w:rPr>
          <w:rFonts w:ascii="Times New Roman" w:hAnsi="Times New Roman" w:cs="Times New Roman"/>
        </w:rPr>
        <w:t>města Jilemnice</w:t>
      </w:r>
      <w:r w:rsidR="00746E5D" w:rsidRPr="00370609">
        <w:rPr>
          <w:rFonts w:ascii="Times New Roman" w:hAnsi="Times New Roman" w:cs="Times New Roman"/>
        </w:rPr>
        <w:t xml:space="preserve"> </w:t>
      </w:r>
      <w:r w:rsidRPr="00370609">
        <w:rPr>
          <w:rFonts w:ascii="Times New Roman" w:hAnsi="Times New Roman" w:cs="Times New Roman"/>
        </w:rPr>
        <w:t xml:space="preserve">dne </w:t>
      </w:r>
      <w:r w:rsidR="00440134" w:rsidRPr="00370609">
        <w:rPr>
          <w:rFonts w:ascii="Times New Roman" w:hAnsi="Times New Roman" w:cs="Times New Roman"/>
        </w:rPr>
        <w:t>31</w:t>
      </w:r>
      <w:r w:rsidR="008A45FA" w:rsidRPr="00370609">
        <w:rPr>
          <w:rFonts w:ascii="Times New Roman" w:hAnsi="Times New Roman" w:cs="Times New Roman"/>
        </w:rPr>
        <w:t xml:space="preserve"> </w:t>
      </w:r>
      <w:r w:rsidR="00626EBB" w:rsidRPr="00370609">
        <w:rPr>
          <w:rFonts w:ascii="Times New Roman" w:hAnsi="Times New Roman" w:cs="Times New Roman"/>
        </w:rPr>
        <w:t>1</w:t>
      </w:r>
      <w:r w:rsidR="008A45FA" w:rsidRPr="00370609">
        <w:rPr>
          <w:rFonts w:ascii="Times New Roman" w:hAnsi="Times New Roman" w:cs="Times New Roman"/>
        </w:rPr>
        <w:t>. 202</w:t>
      </w:r>
      <w:r w:rsidR="00C41723" w:rsidRPr="00370609">
        <w:rPr>
          <w:rFonts w:ascii="Times New Roman" w:hAnsi="Times New Roman" w:cs="Times New Roman"/>
        </w:rPr>
        <w:t>4</w:t>
      </w:r>
      <w:r w:rsidRPr="00370609">
        <w:rPr>
          <w:rFonts w:ascii="Times New Roman" w:hAnsi="Times New Roman" w:cs="Times New Roman"/>
        </w:rPr>
        <w:t xml:space="preserve">, usnesením č. </w:t>
      </w:r>
      <w:r w:rsidR="00440134" w:rsidRPr="00370609">
        <w:rPr>
          <w:rFonts w:ascii="Times New Roman" w:hAnsi="Times New Roman" w:cs="Times New Roman"/>
        </w:rPr>
        <w:t>1a</w:t>
      </w:r>
      <w:r w:rsidR="006D686C" w:rsidRPr="00370609">
        <w:rPr>
          <w:rFonts w:ascii="Times New Roman" w:hAnsi="Times New Roman" w:cs="Times New Roman"/>
        </w:rPr>
        <w:t>/</w:t>
      </w:r>
      <w:r w:rsidR="00440134" w:rsidRPr="00370609">
        <w:rPr>
          <w:rFonts w:ascii="Times New Roman" w:hAnsi="Times New Roman" w:cs="Times New Roman"/>
        </w:rPr>
        <w:t>12</w:t>
      </w:r>
      <w:r w:rsidR="006D686C" w:rsidRPr="00370609">
        <w:rPr>
          <w:rFonts w:ascii="Times New Roman" w:hAnsi="Times New Roman" w:cs="Times New Roman"/>
        </w:rPr>
        <w:t>ZM</w:t>
      </w:r>
      <w:r w:rsidR="00122612" w:rsidRPr="00370609">
        <w:rPr>
          <w:rFonts w:ascii="Times New Roman" w:hAnsi="Times New Roman" w:cs="Times New Roman"/>
        </w:rPr>
        <w:t>/</w:t>
      </w:r>
      <w:r w:rsidR="00EA10C7" w:rsidRPr="00370609">
        <w:rPr>
          <w:rFonts w:ascii="Times New Roman" w:hAnsi="Times New Roman" w:cs="Times New Roman"/>
        </w:rPr>
        <w:t>2</w:t>
      </w:r>
      <w:r w:rsidR="00C41723" w:rsidRPr="00370609">
        <w:rPr>
          <w:rFonts w:ascii="Times New Roman" w:hAnsi="Times New Roman" w:cs="Times New Roman"/>
        </w:rPr>
        <w:t>4</w:t>
      </w:r>
    </w:p>
    <w:p w14:paraId="5736E955" w14:textId="77777777" w:rsidR="00F81A88" w:rsidRPr="00370609" w:rsidRDefault="00F81A88" w:rsidP="008E6B4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70A25365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Poskytovatel:</w:t>
      </w:r>
    </w:p>
    <w:p w14:paraId="1E662AA7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Město Jilemnice</w:t>
      </w:r>
    </w:p>
    <w:p w14:paraId="507EFDF1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Sídlo:</w:t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  <w:t>Masarykovo náměstí 82, 514 01 Jilemnice</w:t>
      </w:r>
    </w:p>
    <w:p w14:paraId="32E0E603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IČO:</w:t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  <w:t>00275808</w:t>
      </w:r>
    </w:p>
    <w:p w14:paraId="78E4C44C" w14:textId="50AE620B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Zastoupené:</w:t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</w:r>
      <w:r w:rsidR="008A45FA" w:rsidRPr="00370609">
        <w:rPr>
          <w:rFonts w:ascii="Times New Roman" w:hAnsi="Times New Roman" w:cs="Times New Roman"/>
        </w:rPr>
        <w:t>Bc. Davidem Hlaváčem</w:t>
      </w:r>
      <w:r w:rsidRPr="00370609">
        <w:rPr>
          <w:rFonts w:ascii="Times New Roman" w:hAnsi="Times New Roman" w:cs="Times New Roman"/>
        </w:rPr>
        <w:t>, starostou města</w:t>
      </w:r>
    </w:p>
    <w:p w14:paraId="7B4B9530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(dále jen „poskytovatel“)</w:t>
      </w:r>
    </w:p>
    <w:p w14:paraId="1DA73CC3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Číslo bankovního účtu:</w:t>
      </w:r>
      <w:r w:rsidRPr="00370609">
        <w:rPr>
          <w:rFonts w:ascii="Times New Roman" w:hAnsi="Times New Roman" w:cs="Times New Roman"/>
        </w:rPr>
        <w:tab/>
        <w:t>27-1263091359/0800, ČS, a.s., pobočka Jilemnice</w:t>
      </w:r>
    </w:p>
    <w:p w14:paraId="33D2D517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3A459B70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a</w:t>
      </w:r>
    </w:p>
    <w:p w14:paraId="1B68E77D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22856B0C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Příjemce:</w:t>
      </w:r>
    </w:p>
    <w:p w14:paraId="73686D85" w14:textId="61F1411C" w:rsidR="00F81A88" w:rsidRPr="00370609" w:rsidRDefault="00626EBB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………………………………</w:t>
      </w:r>
    </w:p>
    <w:p w14:paraId="083E7012" w14:textId="5CA4E627" w:rsidR="00F81A88" w:rsidRPr="00370609" w:rsidRDefault="00626EBB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………………………………</w:t>
      </w:r>
      <w:r w:rsidR="00F81A88" w:rsidRPr="00370609">
        <w:rPr>
          <w:rFonts w:ascii="Times New Roman" w:hAnsi="Times New Roman" w:cs="Times New Roman"/>
        </w:rPr>
        <w:tab/>
      </w:r>
    </w:p>
    <w:p w14:paraId="5E5E139E" w14:textId="3D3CE891" w:rsidR="00F81A88" w:rsidRPr="00370609" w:rsidRDefault="00626EBB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………………………………</w:t>
      </w:r>
      <w:r w:rsidR="00F81A88" w:rsidRPr="00370609">
        <w:rPr>
          <w:rFonts w:ascii="Times New Roman" w:hAnsi="Times New Roman" w:cs="Times New Roman"/>
        </w:rPr>
        <w:tab/>
      </w:r>
    </w:p>
    <w:p w14:paraId="5A236D43" w14:textId="216827F9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Zastoupený:</w:t>
      </w:r>
      <w:r w:rsidRPr="00370609">
        <w:rPr>
          <w:rFonts w:ascii="Times New Roman" w:hAnsi="Times New Roman" w:cs="Times New Roman"/>
        </w:rPr>
        <w:tab/>
      </w:r>
      <w:r w:rsidR="00626EBB" w:rsidRPr="00370609">
        <w:rPr>
          <w:rFonts w:ascii="Times New Roman" w:hAnsi="Times New Roman" w:cs="Times New Roman"/>
        </w:rPr>
        <w:t>…………….</w:t>
      </w:r>
      <w:r w:rsidRPr="00370609">
        <w:rPr>
          <w:rFonts w:ascii="Times New Roman" w:hAnsi="Times New Roman" w:cs="Times New Roman"/>
        </w:rPr>
        <w:tab/>
        <w:t xml:space="preserve"> </w:t>
      </w:r>
    </w:p>
    <w:p w14:paraId="1C238D84" w14:textId="60E8FBD6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Číslo bankovního účtu:</w:t>
      </w:r>
      <w:r w:rsidRPr="00370609">
        <w:rPr>
          <w:rFonts w:ascii="Times New Roman" w:hAnsi="Times New Roman" w:cs="Times New Roman"/>
        </w:rPr>
        <w:tab/>
      </w:r>
      <w:r w:rsidR="00626EBB" w:rsidRPr="00370609">
        <w:rPr>
          <w:rFonts w:ascii="Times New Roman" w:hAnsi="Times New Roman" w:cs="Times New Roman"/>
        </w:rPr>
        <w:t>………..</w:t>
      </w:r>
    </w:p>
    <w:p w14:paraId="1AF8C331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(dále jen „příjemce“),</w:t>
      </w:r>
    </w:p>
    <w:p w14:paraId="5464F828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4090E9B4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společně jako „smluvní strany“,</w:t>
      </w:r>
    </w:p>
    <w:p w14:paraId="126269B2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647D9A31" w14:textId="11BF6C05" w:rsidR="00F81A88" w:rsidRPr="00370609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 xml:space="preserve">uzavřely níže uvedeného dne, měsíce a roku v souladu s ustanovením </w:t>
      </w:r>
      <w:r w:rsidR="006D6B43" w:rsidRPr="00370609">
        <w:rPr>
          <w:rFonts w:ascii="Times New Roman" w:hAnsi="Times New Roman" w:cs="Times New Roman"/>
        </w:rPr>
        <w:t>zákona č. 128/2000 Sb., o obcích, ve znění pozdějších předpisů, a</w:t>
      </w:r>
      <w:r w:rsidR="00122612" w:rsidRPr="00370609">
        <w:rPr>
          <w:rFonts w:ascii="Times New Roman" w:hAnsi="Times New Roman" w:cs="Times New Roman"/>
        </w:rPr>
        <w:t xml:space="preserve"> </w:t>
      </w:r>
      <w:r w:rsidRPr="00370609">
        <w:rPr>
          <w:rFonts w:ascii="Times New Roman" w:hAnsi="Times New Roman" w:cs="Times New Roman"/>
        </w:rPr>
        <w:t xml:space="preserve">zákona č. 250/2000 Sb., o rozpočtových pravidlech územních rozpočtů, </w:t>
      </w:r>
      <w:r w:rsidR="006D6B43" w:rsidRPr="00370609">
        <w:rPr>
          <w:rFonts w:ascii="Times New Roman" w:hAnsi="Times New Roman" w:cs="Times New Roman"/>
        </w:rPr>
        <w:t>ve znění pozdějších předpisů</w:t>
      </w:r>
      <w:r w:rsidRPr="00370609">
        <w:rPr>
          <w:rFonts w:ascii="Times New Roman" w:hAnsi="Times New Roman" w:cs="Times New Roman"/>
        </w:rPr>
        <w:t>, tuto</w:t>
      </w:r>
    </w:p>
    <w:p w14:paraId="41914369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</w:rPr>
      </w:pPr>
    </w:p>
    <w:p w14:paraId="7CD3E56A" w14:textId="782DBA02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veřejnoprávní smlouvu o</w:t>
      </w:r>
      <w:r w:rsidR="00C07231" w:rsidRPr="00370609">
        <w:rPr>
          <w:rFonts w:ascii="Times New Roman" w:hAnsi="Times New Roman" w:cs="Times New Roman"/>
          <w:b/>
          <w:bCs/>
        </w:rPr>
        <w:t xml:space="preserve"> </w:t>
      </w:r>
      <w:r w:rsidRPr="00370609">
        <w:rPr>
          <w:rFonts w:ascii="Times New Roman" w:hAnsi="Times New Roman" w:cs="Times New Roman"/>
          <w:b/>
          <w:bCs/>
        </w:rPr>
        <w:t>poskytnutí</w:t>
      </w:r>
      <w:r w:rsidR="00C07231" w:rsidRPr="00370609">
        <w:rPr>
          <w:rFonts w:ascii="Times New Roman" w:hAnsi="Times New Roman" w:cs="Times New Roman"/>
          <w:b/>
          <w:bCs/>
        </w:rPr>
        <w:t xml:space="preserve"> účelového neinvestičního</w:t>
      </w:r>
      <w:r w:rsidRPr="00370609">
        <w:rPr>
          <w:rFonts w:ascii="Times New Roman" w:hAnsi="Times New Roman" w:cs="Times New Roman"/>
          <w:b/>
          <w:bCs/>
        </w:rPr>
        <w:t xml:space="preserve"> </w:t>
      </w:r>
      <w:r w:rsidR="006D6B43" w:rsidRPr="00370609">
        <w:rPr>
          <w:rFonts w:ascii="Times New Roman" w:hAnsi="Times New Roman" w:cs="Times New Roman"/>
          <w:b/>
          <w:bCs/>
        </w:rPr>
        <w:t>příspěvku</w:t>
      </w:r>
      <w:r w:rsidR="00C07231" w:rsidRPr="00370609">
        <w:rPr>
          <w:rFonts w:ascii="Times New Roman" w:hAnsi="Times New Roman" w:cs="Times New Roman"/>
          <w:b/>
          <w:bCs/>
        </w:rPr>
        <w:t xml:space="preserve"> zřizovatele na závazek veřejné služby</w:t>
      </w:r>
      <w:r w:rsidRPr="00370609">
        <w:rPr>
          <w:rFonts w:ascii="Times New Roman" w:hAnsi="Times New Roman" w:cs="Times New Roman"/>
          <w:b/>
          <w:bCs/>
        </w:rPr>
        <w:t xml:space="preserve"> z rozpočtu města Jilemnice</w:t>
      </w:r>
    </w:p>
    <w:p w14:paraId="6814FE47" w14:textId="6A30DF86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FFC163B" w14:textId="77777777" w:rsidR="002D47A8" w:rsidRPr="00370609" w:rsidRDefault="002D47A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6BE3DB" w14:textId="77777777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Čl. I</w:t>
      </w:r>
    </w:p>
    <w:p w14:paraId="1AA15A1B" w14:textId="366D706E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 xml:space="preserve">Účel </w:t>
      </w:r>
      <w:r w:rsidR="006D6B43" w:rsidRPr="00370609">
        <w:rPr>
          <w:rFonts w:ascii="Times New Roman" w:hAnsi="Times New Roman" w:cs="Times New Roman"/>
          <w:b/>
          <w:bCs/>
        </w:rPr>
        <w:t>příspěvku</w:t>
      </w:r>
      <w:r w:rsidRPr="00370609">
        <w:rPr>
          <w:rFonts w:ascii="Times New Roman" w:hAnsi="Times New Roman" w:cs="Times New Roman"/>
          <w:b/>
          <w:bCs/>
        </w:rPr>
        <w:t xml:space="preserve"> a je</w:t>
      </w:r>
      <w:r w:rsidR="004E3175" w:rsidRPr="00370609">
        <w:rPr>
          <w:rFonts w:ascii="Times New Roman" w:hAnsi="Times New Roman" w:cs="Times New Roman"/>
          <w:b/>
          <w:bCs/>
        </w:rPr>
        <w:t>ho</w:t>
      </w:r>
      <w:r w:rsidRPr="00370609">
        <w:rPr>
          <w:rFonts w:ascii="Times New Roman" w:hAnsi="Times New Roman" w:cs="Times New Roman"/>
          <w:b/>
          <w:bCs/>
        </w:rPr>
        <w:t xml:space="preserve"> výše</w:t>
      </w:r>
    </w:p>
    <w:p w14:paraId="3B0A87B0" w14:textId="77777777" w:rsidR="00F81A88" w:rsidRPr="00370609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3D97A8DD" w14:textId="66DC3600" w:rsidR="002D47A8" w:rsidRPr="00370609" w:rsidRDefault="00D65109" w:rsidP="002D47A8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Účelem příspěvku zřizovatele (dále jen „finanční podpora“) je zajištění kofinancování služeb obecného hospodářského zájmu na území  obcí ORP Jilemnice, vyjma o</w:t>
      </w:r>
      <w:r w:rsidR="00E63B8C" w:rsidRPr="00370609">
        <w:rPr>
          <w:rFonts w:ascii="Times New Roman" w:hAnsi="Times New Roman" w:cs="Times New Roman"/>
        </w:rPr>
        <w:t>byvatel obce Paseky nad Jizerou</w:t>
      </w:r>
      <w:r w:rsidRPr="00370609">
        <w:rPr>
          <w:rFonts w:ascii="Times New Roman" w:hAnsi="Times New Roman" w:cs="Times New Roman"/>
        </w:rPr>
        <w:t xml:space="preserve"> </w:t>
      </w:r>
      <w:r w:rsidR="00E63B8C" w:rsidRPr="00370609">
        <w:rPr>
          <w:rFonts w:ascii="Times New Roman" w:hAnsi="Times New Roman" w:cs="Times New Roman"/>
        </w:rPr>
        <w:t>(</w:t>
      </w:r>
      <w:r w:rsidRPr="00370609">
        <w:rPr>
          <w:rFonts w:ascii="Times New Roman" w:hAnsi="Times New Roman" w:cs="Times New Roman"/>
        </w:rPr>
        <w:t xml:space="preserve">dále jen </w:t>
      </w:r>
      <w:r w:rsidR="00E63B8C" w:rsidRPr="00370609">
        <w:rPr>
          <w:rFonts w:ascii="Times New Roman" w:hAnsi="Times New Roman" w:cs="Times New Roman"/>
        </w:rPr>
        <w:t>„</w:t>
      </w:r>
      <w:r w:rsidRPr="00370609">
        <w:rPr>
          <w:rFonts w:ascii="Times New Roman" w:hAnsi="Times New Roman" w:cs="Times New Roman"/>
        </w:rPr>
        <w:t>zapojené obce</w:t>
      </w:r>
      <w:r w:rsidR="00E63B8C" w:rsidRPr="00370609">
        <w:rPr>
          <w:rFonts w:ascii="Times New Roman" w:hAnsi="Times New Roman" w:cs="Times New Roman"/>
        </w:rPr>
        <w:t>“)</w:t>
      </w:r>
      <w:r w:rsidRPr="00370609">
        <w:rPr>
          <w:rFonts w:ascii="Times New Roman" w:hAnsi="Times New Roman" w:cs="Times New Roman"/>
        </w:rPr>
        <w:t xml:space="preserve">. </w:t>
      </w:r>
      <w:r w:rsidR="00E63B8C" w:rsidRPr="00370609">
        <w:rPr>
          <w:rFonts w:ascii="Times New Roman" w:hAnsi="Times New Roman" w:cs="Times New Roman"/>
        </w:rPr>
        <w:t>Obecným hospodářským zájmem se rozumí zájem poskytovatele spočívající v zajištění veřejné služby dle č</w:t>
      </w:r>
      <w:r w:rsidR="00C41723" w:rsidRPr="00370609">
        <w:rPr>
          <w:rFonts w:ascii="Times New Roman" w:hAnsi="Times New Roman" w:cs="Times New Roman"/>
        </w:rPr>
        <w:t>l</w:t>
      </w:r>
      <w:r w:rsidR="00E63B8C" w:rsidRPr="00370609">
        <w:rPr>
          <w:rFonts w:ascii="Times New Roman" w:hAnsi="Times New Roman" w:cs="Times New Roman"/>
        </w:rPr>
        <w:t>. I</w:t>
      </w:r>
      <w:r w:rsidR="00E27143" w:rsidRPr="00370609">
        <w:rPr>
          <w:rFonts w:ascii="Times New Roman" w:hAnsi="Times New Roman" w:cs="Times New Roman"/>
        </w:rPr>
        <w:t xml:space="preserve"> bodu 2</w:t>
      </w:r>
      <w:r w:rsidR="00E63B8C" w:rsidRPr="00370609">
        <w:rPr>
          <w:rFonts w:ascii="Times New Roman" w:hAnsi="Times New Roman" w:cs="Times New Roman"/>
        </w:rPr>
        <w:t>. této smlouvy.</w:t>
      </w:r>
    </w:p>
    <w:p w14:paraId="7E35F99A" w14:textId="77777777" w:rsidR="002D47A8" w:rsidRPr="00370609" w:rsidRDefault="002D47A8" w:rsidP="002D47A8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77B5888C" w14:textId="60C68B1D" w:rsidR="002D47A8" w:rsidRPr="00370609" w:rsidRDefault="002D47A8" w:rsidP="002D47A8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Poskytnut</w:t>
      </w:r>
      <w:r w:rsidR="00E27143" w:rsidRPr="00370609">
        <w:rPr>
          <w:rFonts w:ascii="Times New Roman" w:hAnsi="Times New Roman" w:cs="Times New Roman"/>
        </w:rPr>
        <w:t>á finanční podpora</w:t>
      </w:r>
      <w:r w:rsidRPr="00370609">
        <w:rPr>
          <w:rFonts w:ascii="Times New Roman" w:hAnsi="Times New Roman" w:cs="Times New Roman"/>
        </w:rPr>
        <w:t xml:space="preserve"> </w:t>
      </w:r>
      <w:r w:rsidR="00E27143" w:rsidRPr="00370609">
        <w:rPr>
          <w:rFonts w:ascii="Times New Roman" w:hAnsi="Times New Roman" w:cs="Times New Roman"/>
        </w:rPr>
        <w:t>je určena výhradně na financování základních činností služby</w:t>
      </w:r>
      <w:r w:rsidR="00C41723" w:rsidRPr="00370609">
        <w:rPr>
          <w:rFonts w:ascii="Times New Roman" w:hAnsi="Times New Roman" w:cs="Times New Roman"/>
        </w:rPr>
        <w:t>/</w:t>
      </w:r>
      <w:proofErr w:type="spellStart"/>
      <w:r w:rsidR="00C41723" w:rsidRPr="00370609">
        <w:rPr>
          <w:rFonts w:ascii="Times New Roman" w:hAnsi="Times New Roman" w:cs="Times New Roman"/>
        </w:rPr>
        <w:t>eb</w:t>
      </w:r>
      <w:proofErr w:type="spellEnd"/>
      <w:r w:rsidR="00E27143" w:rsidRPr="00370609">
        <w:rPr>
          <w:rFonts w:ascii="Times New Roman" w:hAnsi="Times New Roman" w:cs="Times New Roman"/>
        </w:rPr>
        <w:t xml:space="preserve"> a </w:t>
      </w:r>
      <w:r w:rsidRPr="00370609">
        <w:rPr>
          <w:rFonts w:ascii="Times New Roman" w:hAnsi="Times New Roman" w:cs="Times New Roman"/>
        </w:rPr>
        <w:t>tvoří součást vyrovnávací platby vyplácené na základě Pověření Libereckého kraje k výkonu služby obecného hospodářského zájmu:</w:t>
      </w:r>
    </w:p>
    <w:p w14:paraId="1858F389" w14:textId="580B914E" w:rsidR="002D47A8" w:rsidRPr="00370609" w:rsidRDefault="002D47A8" w:rsidP="002D47A8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2ECC22FF" w14:textId="77777777" w:rsidR="00626EBB" w:rsidRPr="00370609" w:rsidRDefault="00626EBB" w:rsidP="00593CE9">
      <w:pPr>
        <w:spacing w:after="0" w:line="259" w:lineRule="auto"/>
        <w:ind w:left="709"/>
        <w:jc w:val="both"/>
        <w:rPr>
          <w:rFonts w:ascii="Times New Roman" w:hAnsi="Times New Roman" w:cs="Times New Roman"/>
          <w:i/>
        </w:rPr>
      </w:pPr>
      <w:r w:rsidRPr="00370609">
        <w:rPr>
          <w:rFonts w:ascii="Times New Roman" w:hAnsi="Times New Roman" w:cs="Times New Roman"/>
          <w:i/>
        </w:rPr>
        <w:t>Doplněny budou název, §, popis a identifikátor služby dle schválené žádosti o příspěvek</w:t>
      </w:r>
    </w:p>
    <w:p w14:paraId="244BEBDD" w14:textId="77777777" w:rsidR="00593CE9" w:rsidRPr="00370609" w:rsidRDefault="00593CE9" w:rsidP="008A0D6E">
      <w:pPr>
        <w:spacing w:after="0" w:line="259" w:lineRule="auto"/>
        <w:ind w:left="709"/>
        <w:jc w:val="both"/>
        <w:rPr>
          <w:rFonts w:ascii="Times New Roman" w:hAnsi="Times New Roman" w:cs="Times New Roman"/>
        </w:rPr>
      </w:pPr>
    </w:p>
    <w:p w14:paraId="6A6B451B" w14:textId="6BDF04A6" w:rsidR="002D47A8" w:rsidRPr="00370609" w:rsidRDefault="00E27143" w:rsidP="008E6B41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Finanční podpora</w:t>
      </w:r>
      <w:r w:rsidR="00F81A88" w:rsidRPr="00370609">
        <w:rPr>
          <w:rFonts w:ascii="Times New Roman" w:hAnsi="Times New Roman" w:cs="Times New Roman"/>
        </w:rPr>
        <w:t xml:space="preserve"> je poskytován</w:t>
      </w:r>
      <w:r w:rsidRPr="00370609">
        <w:rPr>
          <w:rFonts w:ascii="Times New Roman" w:hAnsi="Times New Roman" w:cs="Times New Roman"/>
        </w:rPr>
        <w:t>a</w:t>
      </w:r>
      <w:r w:rsidR="00F81A88" w:rsidRPr="00370609">
        <w:rPr>
          <w:rFonts w:ascii="Times New Roman" w:hAnsi="Times New Roman" w:cs="Times New Roman"/>
        </w:rPr>
        <w:t xml:space="preserve"> v maximální výši </w:t>
      </w:r>
      <w:r w:rsidR="00626EBB" w:rsidRPr="00370609">
        <w:rPr>
          <w:rFonts w:ascii="Times New Roman" w:hAnsi="Times New Roman" w:cs="Times New Roman"/>
          <w:b/>
          <w:bCs/>
        </w:rPr>
        <w:t>…..</w:t>
      </w:r>
      <w:r w:rsidR="00F81A88" w:rsidRPr="00370609">
        <w:rPr>
          <w:rFonts w:ascii="Times New Roman" w:hAnsi="Times New Roman" w:cs="Times New Roman"/>
          <w:b/>
          <w:bCs/>
        </w:rPr>
        <w:t xml:space="preserve"> Kč</w:t>
      </w:r>
      <w:r w:rsidR="00F81A88" w:rsidRPr="00370609">
        <w:rPr>
          <w:rFonts w:ascii="Times New Roman" w:hAnsi="Times New Roman" w:cs="Times New Roman"/>
        </w:rPr>
        <w:t xml:space="preserve"> (slovy: </w:t>
      </w:r>
      <w:r w:rsidR="00626EBB" w:rsidRPr="00370609">
        <w:rPr>
          <w:rFonts w:ascii="Times New Roman" w:hAnsi="Times New Roman" w:cs="Times New Roman"/>
        </w:rPr>
        <w:t>…….</w:t>
      </w:r>
      <w:r w:rsidR="00593CE9" w:rsidRPr="00370609">
        <w:rPr>
          <w:rFonts w:ascii="Times New Roman" w:hAnsi="Times New Roman" w:cs="Times New Roman"/>
        </w:rPr>
        <w:t xml:space="preserve"> </w:t>
      </w:r>
      <w:proofErr w:type="gramStart"/>
      <w:r w:rsidR="000708D0" w:rsidRPr="00370609">
        <w:rPr>
          <w:rFonts w:ascii="Times New Roman" w:hAnsi="Times New Roman" w:cs="Times New Roman"/>
        </w:rPr>
        <w:t>korun</w:t>
      </w:r>
      <w:proofErr w:type="gramEnd"/>
      <w:r w:rsidR="000708D0" w:rsidRPr="00370609">
        <w:rPr>
          <w:rFonts w:ascii="Times New Roman" w:hAnsi="Times New Roman" w:cs="Times New Roman"/>
        </w:rPr>
        <w:t xml:space="preserve"> českých</w:t>
      </w:r>
      <w:r w:rsidR="009225DB" w:rsidRPr="00370609">
        <w:rPr>
          <w:rFonts w:ascii="Times New Roman" w:hAnsi="Times New Roman" w:cs="Times New Roman"/>
        </w:rPr>
        <w:t xml:space="preserve">). </w:t>
      </w:r>
    </w:p>
    <w:p w14:paraId="2337C260" w14:textId="77777777" w:rsidR="002D47A8" w:rsidRPr="00370609" w:rsidRDefault="002D47A8" w:rsidP="002D47A8">
      <w:pPr>
        <w:spacing w:after="0" w:line="259" w:lineRule="auto"/>
        <w:ind w:left="720"/>
        <w:jc w:val="both"/>
        <w:rPr>
          <w:rFonts w:ascii="Times New Roman" w:hAnsi="Times New Roman" w:cs="Times New Roman"/>
        </w:rPr>
      </w:pPr>
    </w:p>
    <w:p w14:paraId="4946969D" w14:textId="1F7278F4" w:rsidR="00F81A88" w:rsidRPr="00370609" w:rsidRDefault="00593CE9" w:rsidP="008E6B41">
      <w:pPr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V</w:t>
      </w:r>
      <w:r w:rsidR="00F81A88" w:rsidRPr="00370609">
        <w:rPr>
          <w:rFonts w:ascii="Times New Roman" w:hAnsi="Times New Roman" w:cs="Times New Roman"/>
        </w:rPr>
        <w:t xml:space="preserve">ýše </w:t>
      </w:r>
      <w:r w:rsidR="00E27143" w:rsidRPr="00370609">
        <w:rPr>
          <w:rFonts w:ascii="Times New Roman" w:hAnsi="Times New Roman" w:cs="Times New Roman"/>
        </w:rPr>
        <w:t>finanční podpory</w:t>
      </w:r>
      <w:r w:rsidR="00F81A88" w:rsidRPr="00370609">
        <w:rPr>
          <w:rFonts w:ascii="Times New Roman" w:hAnsi="Times New Roman" w:cs="Times New Roman"/>
        </w:rPr>
        <w:t xml:space="preserve"> </w:t>
      </w:r>
      <w:r w:rsidRPr="00370609">
        <w:rPr>
          <w:rFonts w:ascii="Times New Roman" w:hAnsi="Times New Roman" w:cs="Times New Roman"/>
        </w:rPr>
        <w:t>na podpořené sociální služby</w:t>
      </w:r>
      <w:r w:rsidR="002D47A8" w:rsidRPr="00370609">
        <w:rPr>
          <w:rFonts w:ascii="Times New Roman" w:hAnsi="Times New Roman" w:cs="Times New Roman"/>
        </w:rPr>
        <w:t>, včetně stanovených limitů:</w:t>
      </w:r>
      <w:r w:rsidR="00B24E88" w:rsidRPr="00370609">
        <w:rPr>
          <w:rFonts w:ascii="Times New Roman" w:hAnsi="Times New Roman" w:cs="Times New Roman"/>
        </w:rPr>
        <w:t xml:space="preserve"> </w:t>
      </w:r>
      <w:r w:rsidR="00200A1E" w:rsidRPr="00370609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997" w:type="dxa"/>
        <w:tblInd w:w="708" w:type="dxa"/>
        <w:tblLook w:val="04A0" w:firstRow="1" w:lastRow="0" w:firstColumn="1" w:lastColumn="0" w:noHBand="0" w:noVBand="1"/>
      </w:tblPr>
      <w:tblGrid>
        <w:gridCol w:w="2071"/>
        <w:gridCol w:w="326"/>
        <w:gridCol w:w="1695"/>
        <w:gridCol w:w="1682"/>
        <w:gridCol w:w="3223"/>
      </w:tblGrid>
      <w:tr w:rsidR="002D47A8" w:rsidRPr="002D47A8" w14:paraId="4CFFACD7" w14:textId="77777777" w:rsidTr="00626EBB">
        <w:tc>
          <w:tcPr>
            <w:tcW w:w="2071" w:type="dxa"/>
          </w:tcPr>
          <w:p w14:paraId="753F615F" w14:textId="36C86FFF" w:rsidR="002D47A8" w:rsidRPr="00370609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lastRenderedPageBreak/>
              <w:t>Druh sociální služby</w:t>
            </w:r>
          </w:p>
        </w:tc>
        <w:tc>
          <w:tcPr>
            <w:tcW w:w="326" w:type="dxa"/>
          </w:tcPr>
          <w:p w14:paraId="0188A589" w14:textId="7DE1BF28" w:rsidR="002D47A8" w:rsidRPr="00370609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1695" w:type="dxa"/>
          </w:tcPr>
          <w:p w14:paraId="1B87816F" w14:textId="2E9ABE70" w:rsidR="002D47A8" w:rsidRPr="00370609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Číslo registrace</w:t>
            </w:r>
          </w:p>
        </w:tc>
        <w:tc>
          <w:tcPr>
            <w:tcW w:w="1682" w:type="dxa"/>
          </w:tcPr>
          <w:p w14:paraId="387D45FB" w14:textId="3EC0FA02" w:rsidR="002D47A8" w:rsidRPr="00370609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Částka v Kč</w:t>
            </w:r>
          </w:p>
        </w:tc>
        <w:tc>
          <w:tcPr>
            <w:tcW w:w="3223" w:type="dxa"/>
          </w:tcPr>
          <w:p w14:paraId="38F2930A" w14:textId="04345EB3" w:rsidR="002D47A8" w:rsidRPr="002D47A8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Limit spolufinancování služby</w:t>
            </w:r>
            <w:r w:rsidR="00606DA3" w:rsidRPr="00370609">
              <w:rPr>
                <w:rFonts w:ascii="Times New Roman" w:hAnsi="Times New Roman" w:cs="Times New Roman"/>
                <w:b/>
              </w:rPr>
              <w:t xml:space="preserve"> z nákladů na jilemnické obyvatele</w:t>
            </w:r>
            <w:r w:rsidRPr="00370609">
              <w:rPr>
                <w:rFonts w:ascii="Times New Roman" w:hAnsi="Times New Roman" w:cs="Times New Roman"/>
                <w:b/>
              </w:rPr>
              <w:t xml:space="preserve"> (viz P1 GPSS)</w:t>
            </w:r>
          </w:p>
        </w:tc>
      </w:tr>
      <w:tr w:rsidR="002D47A8" w14:paraId="6A0F8789" w14:textId="77777777" w:rsidTr="00626EBB">
        <w:tc>
          <w:tcPr>
            <w:tcW w:w="2071" w:type="dxa"/>
            <w:shd w:val="clear" w:color="auto" w:fill="00B0F0"/>
          </w:tcPr>
          <w:p w14:paraId="07969584" w14:textId="4AFB3532" w:rsidR="002D47A8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B0F0"/>
          </w:tcPr>
          <w:p w14:paraId="1344FE3F" w14:textId="7C9DC0D2" w:rsidR="002D47A8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00B0F0"/>
          </w:tcPr>
          <w:p w14:paraId="36F2A186" w14:textId="1C36C7DA" w:rsidR="002D47A8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00B0F0"/>
          </w:tcPr>
          <w:p w14:paraId="152B70D7" w14:textId="0FD5E820" w:rsidR="002D47A8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shd w:val="clear" w:color="auto" w:fill="00B0F0"/>
          </w:tcPr>
          <w:p w14:paraId="3E94B5CE" w14:textId="1385D1FF" w:rsidR="002D47A8" w:rsidRDefault="002D47A8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723" w14:paraId="6E9765B4" w14:textId="77777777" w:rsidTr="00626EBB">
        <w:tc>
          <w:tcPr>
            <w:tcW w:w="2071" w:type="dxa"/>
            <w:shd w:val="clear" w:color="auto" w:fill="00B0F0"/>
          </w:tcPr>
          <w:p w14:paraId="4EDBE897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B0F0"/>
          </w:tcPr>
          <w:p w14:paraId="6576B97A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00B0F0"/>
          </w:tcPr>
          <w:p w14:paraId="16B6683F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00B0F0"/>
          </w:tcPr>
          <w:p w14:paraId="6EC9F414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shd w:val="clear" w:color="auto" w:fill="00B0F0"/>
          </w:tcPr>
          <w:p w14:paraId="54A59023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723" w14:paraId="71BB5B04" w14:textId="77777777" w:rsidTr="00626EBB">
        <w:tc>
          <w:tcPr>
            <w:tcW w:w="2071" w:type="dxa"/>
            <w:shd w:val="clear" w:color="auto" w:fill="00B0F0"/>
          </w:tcPr>
          <w:p w14:paraId="09F111FB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B0F0"/>
          </w:tcPr>
          <w:p w14:paraId="004B8741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00B0F0"/>
          </w:tcPr>
          <w:p w14:paraId="6C907D83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00B0F0"/>
          </w:tcPr>
          <w:p w14:paraId="7E2BED91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shd w:val="clear" w:color="auto" w:fill="00B0F0"/>
          </w:tcPr>
          <w:p w14:paraId="7645E050" w14:textId="77777777" w:rsidR="00C41723" w:rsidRDefault="00C41723" w:rsidP="002D47A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92D745" w14:textId="77777777"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7B596AC6" w14:textId="77777777"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30621FBF" w14:textId="0084E7FC"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II</w:t>
      </w:r>
    </w:p>
    <w:p w14:paraId="3F68B8EE" w14:textId="6ABD2F7A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 xml:space="preserve">Doba naplnění účelu </w:t>
      </w:r>
    </w:p>
    <w:p w14:paraId="2F8B546F" w14:textId="77777777" w:rsidR="00F81A88" w:rsidRPr="00370609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0F32F53A" w14:textId="056DAD0F" w:rsidR="00F81A88" w:rsidRPr="00370609" w:rsidRDefault="00E27143" w:rsidP="008E6B41">
      <w:pPr>
        <w:numPr>
          <w:ilvl w:val="0"/>
          <w:numId w:val="1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Finanční podpora</w:t>
      </w:r>
      <w:r w:rsidR="00F81A88" w:rsidRPr="00370609">
        <w:rPr>
          <w:rFonts w:ascii="Times New Roman" w:hAnsi="Times New Roman" w:cs="Times New Roman"/>
        </w:rPr>
        <w:t xml:space="preserve"> se poskytuje na období od </w:t>
      </w:r>
      <w:proofErr w:type="spellStart"/>
      <w:r w:rsidR="00626EBB" w:rsidRPr="00370609">
        <w:rPr>
          <w:rFonts w:ascii="Times New Roman" w:hAnsi="Times New Roman" w:cs="Times New Roman"/>
          <w:b/>
          <w:bCs/>
        </w:rPr>
        <w:t>xx</w:t>
      </w:r>
      <w:proofErr w:type="spellEnd"/>
      <w:r w:rsidR="000708D0" w:rsidRPr="0037060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626EBB" w:rsidRPr="00370609">
        <w:rPr>
          <w:rFonts w:ascii="Times New Roman" w:hAnsi="Times New Roman" w:cs="Times New Roman"/>
          <w:b/>
          <w:bCs/>
        </w:rPr>
        <w:t>xx</w:t>
      </w:r>
      <w:proofErr w:type="spellEnd"/>
      <w:r w:rsidR="000708D0" w:rsidRPr="00370609">
        <w:rPr>
          <w:rFonts w:ascii="Times New Roman" w:hAnsi="Times New Roman" w:cs="Times New Roman"/>
          <w:b/>
          <w:bCs/>
        </w:rPr>
        <w:t>.</w:t>
      </w:r>
      <w:r w:rsidR="00F81A88" w:rsidRPr="00370609">
        <w:rPr>
          <w:rFonts w:ascii="Times New Roman" w:hAnsi="Times New Roman" w:cs="Times New Roman"/>
          <w:b/>
          <w:bCs/>
        </w:rPr>
        <w:t xml:space="preserve"> 20</w:t>
      </w:r>
      <w:r w:rsidR="0094274F" w:rsidRPr="00370609">
        <w:rPr>
          <w:rFonts w:ascii="Times New Roman" w:hAnsi="Times New Roman" w:cs="Times New Roman"/>
          <w:b/>
          <w:bCs/>
        </w:rPr>
        <w:t>2</w:t>
      </w:r>
      <w:r w:rsidR="00C41723" w:rsidRPr="00370609">
        <w:rPr>
          <w:rFonts w:ascii="Times New Roman" w:hAnsi="Times New Roman" w:cs="Times New Roman"/>
          <w:b/>
          <w:bCs/>
        </w:rPr>
        <w:t>4</w:t>
      </w:r>
      <w:r w:rsidR="00F81A88" w:rsidRPr="00370609">
        <w:rPr>
          <w:rFonts w:ascii="Times New Roman" w:hAnsi="Times New Roman" w:cs="Times New Roman"/>
        </w:rPr>
        <w:t xml:space="preserve"> do </w:t>
      </w:r>
      <w:proofErr w:type="spellStart"/>
      <w:r w:rsidR="00626EBB" w:rsidRPr="00370609">
        <w:rPr>
          <w:rFonts w:ascii="Times New Roman" w:hAnsi="Times New Roman" w:cs="Times New Roman"/>
          <w:b/>
          <w:bCs/>
        </w:rPr>
        <w:t>xx</w:t>
      </w:r>
      <w:proofErr w:type="spellEnd"/>
      <w:r w:rsidR="000708D0" w:rsidRPr="0037060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626EBB" w:rsidRPr="00370609">
        <w:rPr>
          <w:rFonts w:ascii="Times New Roman" w:hAnsi="Times New Roman" w:cs="Times New Roman"/>
          <w:b/>
          <w:bCs/>
        </w:rPr>
        <w:t>xx</w:t>
      </w:r>
      <w:proofErr w:type="spellEnd"/>
      <w:r w:rsidR="000708D0" w:rsidRPr="00370609">
        <w:rPr>
          <w:rFonts w:ascii="Times New Roman" w:hAnsi="Times New Roman" w:cs="Times New Roman"/>
          <w:b/>
          <w:bCs/>
        </w:rPr>
        <w:t>.</w:t>
      </w:r>
      <w:r w:rsidR="00F81A88" w:rsidRPr="00370609">
        <w:rPr>
          <w:rFonts w:ascii="Times New Roman" w:hAnsi="Times New Roman" w:cs="Times New Roman"/>
          <w:b/>
          <w:bCs/>
        </w:rPr>
        <w:t xml:space="preserve"> 20</w:t>
      </w:r>
      <w:r w:rsidR="0094274F" w:rsidRPr="00370609">
        <w:rPr>
          <w:rFonts w:ascii="Times New Roman" w:hAnsi="Times New Roman" w:cs="Times New Roman"/>
          <w:b/>
          <w:bCs/>
        </w:rPr>
        <w:t>2</w:t>
      </w:r>
      <w:r w:rsidR="00C41723" w:rsidRPr="00370609">
        <w:rPr>
          <w:rFonts w:ascii="Times New Roman" w:hAnsi="Times New Roman" w:cs="Times New Roman"/>
          <w:b/>
          <w:bCs/>
        </w:rPr>
        <w:t>4</w:t>
      </w:r>
      <w:r w:rsidR="00F81A88" w:rsidRPr="00370609">
        <w:rPr>
          <w:rFonts w:ascii="Times New Roman" w:hAnsi="Times New Roman" w:cs="Times New Roman"/>
        </w:rPr>
        <w:t xml:space="preserve">. </w:t>
      </w:r>
      <w:r w:rsidRPr="00370609">
        <w:rPr>
          <w:rFonts w:ascii="Times New Roman" w:hAnsi="Times New Roman" w:cs="Times New Roman"/>
        </w:rPr>
        <w:t>Finanční podpora</w:t>
      </w:r>
      <w:r w:rsidR="00F81A88" w:rsidRPr="00370609">
        <w:rPr>
          <w:rFonts w:ascii="Times New Roman" w:hAnsi="Times New Roman" w:cs="Times New Roman"/>
        </w:rPr>
        <w:t xml:space="preserve"> musí být využit</w:t>
      </w:r>
      <w:r w:rsidRPr="00370609">
        <w:rPr>
          <w:rFonts w:ascii="Times New Roman" w:hAnsi="Times New Roman" w:cs="Times New Roman"/>
        </w:rPr>
        <w:t>a</w:t>
      </w:r>
      <w:r w:rsidR="00F81A88" w:rsidRPr="00370609">
        <w:rPr>
          <w:rFonts w:ascii="Times New Roman" w:hAnsi="Times New Roman" w:cs="Times New Roman"/>
        </w:rPr>
        <w:t xml:space="preserve"> v rámci </w:t>
      </w:r>
      <w:r w:rsidR="00200A1E" w:rsidRPr="00370609">
        <w:rPr>
          <w:rFonts w:ascii="Times New Roman" w:hAnsi="Times New Roman" w:cs="Times New Roman"/>
        </w:rPr>
        <w:t>uvedeného období</w:t>
      </w:r>
      <w:r w:rsidR="00606DA3" w:rsidRPr="00370609">
        <w:rPr>
          <w:rFonts w:ascii="Times New Roman" w:hAnsi="Times New Roman" w:cs="Times New Roman"/>
        </w:rPr>
        <w:t xml:space="preserve"> pouze na účel uvedený v čl. I</w:t>
      </w:r>
      <w:r w:rsidR="00F81A88" w:rsidRPr="00370609">
        <w:rPr>
          <w:rFonts w:ascii="Times New Roman" w:hAnsi="Times New Roman" w:cs="Times New Roman"/>
        </w:rPr>
        <w:t xml:space="preserve"> této smlouvy.</w:t>
      </w:r>
    </w:p>
    <w:p w14:paraId="30F66FD0" w14:textId="77777777" w:rsidR="00F81A88" w:rsidRPr="00370609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792C4BCF" w14:textId="51269A69" w:rsidR="00F81A88" w:rsidRPr="00370609" w:rsidRDefault="00E27143" w:rsidP="008E6B41">
      <w:pPr>
        <w:numPr>
          <w:ilvl w:val="0"/>
          <w:numId w:val="1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Finanční podpora</w:t>
      </w:r>
      <w:r w:rsidR="004E3175" w:rsidRPr="00370609">
        <w:rPr>
          <w:rFonts w:ascii="Times New Roman" w:hAnsi="Times New Roman" w:cs="Times New Roman"/>
        </w:rPr>
        <w:t xml:space="preserve"> bude převeden</w:t>
      </w:r>
      <w:r w:rsidRPr="00370609">
        <w:rPr>
          <w:rFonts w:ascii="Times New Roman" w:hAnsi="Times New Roman" w:cs="Times New Roman"/>
        </w:rPr>
        <w:t>a</w:t>
      </w:r>
      <w:r w:rsidR="00F81A88" w:rsidRPr="00370609">
        <w:rPr>
          <w:rFonts w:ascii="Times New Roman" w:hAnsi="Times New Roman" w:cs="Times New Roman"/>
        </w:rPr>
        <w:t xml:space="preserve"> na bankovní účet příjemce do 30 dnů ode dne nabytí účinnosti této smlouvy.</w:t>
      </w:r>
    </w:p>
    <w:p w14:paraId="33654ED1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5FF18B49" w14:textId="77777777" w:rsidR="00F81A88" w:rsidRPr="00370609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50796994" w14:textId="3989ADE5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Čl. I</w:t>
      </w:r>
      <w:r w:rsidR="00C92982" w:rsidRPr="00370609">
        <w:rPr>
          <w:rFonts w:ascii="Times New Roman" w:hAnsi="Times New Roman" w:cs="Times New Roman"/>
          <w:b/>
          <w:bCs/>
        </w:rPr>
        <w:t>II</w:t>
      </w:r>
    </w:p>
    <w:p w14:paraId="5CD4287B" w14:textId="77777777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370609">
        <w:rPr>
          <w:rFonts w:ascii="Times New Roman" w:hAnsi="Times New Roman" w:cs="Times New Roman"/>
          <w:b/>
          <w:bCs/>
        </w:rPr>
        <w:t>Základní povinnosti příjemce</w:t>
      </w:r>
    </w:p>
    <w:p w14:paraId="5221EF18" w14:textId="77777777" w:rsidR="00F81A88" w:rsidRPr="00370609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7ADE4195" w14:textId="3E76AA01" w:rsidR="00F81A88" w:rsidRPr="00370609" w:rsidRDefault="00F81A88" w:rsidP="008E6B41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Příjemce je povinen zajistit</w:t>
      </w:r>
      <w:r w:rsidR="00606DA3" w:rsidRPr="00370609">
        <w:rPr>
          <w:rFonts w:ascii="Times New Roman" w:hAnsi="Times New Roman" w:cs="Times New Roman"/>
        </w:rPr>
        <w:t xml:space="preserve"> podpořené sociální služby</w:t>
      </w:r>
      <w:r w:rsidRPr="00370609">
        <w:rPr>
          <w:rFonts w:ascii="Times New Roman" w:hAnsi="Times New Roman" w:cs="Times New Roman"/>
        </w:rPr>
        <w:t xml:space="preserve"> pro klient</w:t>
      </w:r>
      <w:r w:rsidR="006130EB" w:rsidRPr="00370609">
        <w:rPr>
          <w:rFonts w:ascii="Times New Roman" w:hAnsi="Times New Roman" w:cs="Times New Roman"/>
        </w:rPr>
        <w:t>y</w:t>
      </w:r>
      <w:r w:rsidRPr="00370609">
        <w:rPr>
          <w:rFonts w:ascii="Times New Roman" w:hAnsi="Times New Roman" w:cs="Times New Roman"/>
        </w:rPr>
        <w:t xml:space="preserve"> </w:t>
      </w:r>
      <w:r w:rsidR="00A40223" w:rsidRPr="00370609">
        <w:rPr>
          <w:rFonts w:ascii="Times New Roman" w:hAnsi="Times New Roman" w:cs="Times New Roman"/>
        </w:rPr>
        <w:t>zapojených obcí</w:t>
      </w:r>
      <w:r w:rsidR="006130EB" w:rsidRPr="00370609">
        <w:rPr>
          <w:rFonts w:ascii="Times New Roman" w:hAnsi="Times New Roman" w:cs="Times New Roman"/>
        </w:rPr>
        <w:t xml:space="preserve"> v rozsahu:</w:t>
      </w:r>
    </w:p>
    <w:tbl>
      <w:tblPr>
        <w:tblStyle w:val="Mkatabulky"/>
        <w:tblW w:w="9007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264"/>
        <w:gridCol w:w="567"/>
        <w:gridCol w:w="1701"/>
        <w:gridCol w:w="4475"/>
      </w:tblGrid>
      <w:tr w:rsidR="00606DA3" w:rsidRPr="002D47A8" w14:paraId="32A0C0DE" w14:textId="77777777" w:rsidTr="006130EB">
        <w:tc>
          <w:tcPr>
            <w:tcW w:w="2264" w:type="dxa"/>
          </w:tcPr>
          <w:p w14:paraId="4DD44607" w14:textId="77777777" w:rsidR="00606DA3" w:rsidRPr="00370609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  <w:tc>
          <w:tcPr>
            <w:tcW w:w="567" w:type="dxa"/>
          </w:tcPr>
          <w:p w14:paraId="638F4DB6" w14:textId="77777777" w:rsidR="00606DA3" w:rsidRPr="00370609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1701" w:type="dxa"/>
          </w:tcPr>
          <w:p w14:paraId="0BA530C9" w14:textId="77777777" w:rsidR="00606DA3" w:rsidRPr="00370609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Číslo registrace</w:t>
            </w:r>
          </w:p>
        </w:tc>
        <w:tc>
          <w:tcPr>
            <w:tcW w:w="4475" w:type="dxa"/>
          </w:tcPr>
          <w:p w14:paraId="41248F78" w14:textId="1B8A716A" w:rsidR="00606DA3" w:rsidRPr="002D47A8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609">
              <w:rPr>
                <w:rFonts w:ascii="Times New Roman" w:hAnsi="Times New Roman" w:cs="Times New Roman"/>
                <w:b/>
              </w:rPr>
              <w:t>Závazek služby</w:t>
            </w:r>
          </w:p>
        </w:tc>
      </w:tr>
      <w:tr w:rsidR="00606DA3" w14:paraId="35226560" w14:textId="77777777" w:rsidTr="00626EBB">
        <w:tc>
          <w:tcPr>
            <w:tcW w:w="2264" w:type="dxa"/>
            <w:shd w:val="clear" w:color="auto" w:fill="00B0F0"/>
          </w:tcPr>
          <w:p w14:paraId="5C13C90E" w14:textId="3B62A583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B0F0"/>
          </w:tcPr>
          <w:p w14:paraId="7E151811" w14:textId="5F8639C2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B0F0"/>
          </w:tcPr>
          <w:p w14:paraId="0A49394B" w14:textId="7889F4EE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shd w:val="clear" w:color="auto" w:fill="00B0F0"/>
          </w:tcPr>
          <w:p w14:paraId="29838217" w14:textId="375CA746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DA3" w14:paraId="4040D342" w14:textId="77777777" w:rsidTr="00626EBB">
        <w:tc>
          <w:tcPr>
            <w:tcW w:w="2264" w:type="dxa"/>
            <w:shd w:val="clear" w:color="auto" w:fill="00B0F0"/>
          </w:tcPr>
          <w:p w14:paraId="0397F67C" w14:textId="2890B57E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B0F0"/>
          </w:tcPr>
          <w:p w14:paraId="77D7A805" w14:textId="0796358A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B0F0"/>
          </w:tcPr>
          <w:p w14:paraId="2755B1C4" w14:textId="57342C59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shd w:val="clear" w:color="auto" w:fill="00B0F0"/>
          </w:tcPr>
          <w:p w14:paraId="71EA3003" w14:textId="52746ADB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DA3" w14:paraId="69DACC6C" w14:textId="77777777" w:rsidTr="00626EBB">
        <w:tc>
          <w:tcPr>
            <w:tcW w:w="2264" w:type="dxa"/>
            <w:shd w:val="clear" w:color="auto" w:fill="00B0F0"/>
          </w:tcPr>
          <w:p w14:paraId="11F561AC" w14:textId="37A9D50C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B0F0"/>
          </w:tcPr>
          <w:p w14:paraId="0DB0BD08" w14:textId="35BD3BBF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B0F0"/>
          </w:tcPr>
          <w:p w14:paraId="5050A290" w14:textId="6325A1CE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shd w:val="clear" w:color="auto" w:fill="00B0F0"/>
          </w:tcPr>
          <w:p w14:paraId="09785ED5" w14:textId="528F6BC1" w:rsidR="00606DA3" w:rsidRDefault="00606DA3" w:rsidP="00B0786F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86F77A" w14:textId="3053C9CE" w:rsidR="00F81A88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1971A853" w14:textId="77777777" w:rsidR="00606DA3" w:rsidRPr="00EE0E90" w:rsidRDefault="00606DA3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D0D105" w14:textId="73ED42E4" w:rsidR="00F81A88" w:rsidRPr="004E3175" w:rsidRDefault="00F81A88" w:rsidP="004E3175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A40223">
        <w:rPr>
          <w:rFonts w:ascii="Times New Roman" w:hAnsi="Times New Roman" w:cs="Times New Roman"/>
        </w:rPr>
        <w:t>Příjemce je povinen předložit</w:t>
      </w:r>
      <w:r w:rsidR="0075663B" w:rsidRPr="00A40223">
        <w:rPr>
          <w:rFonts w:ascii="Times New Roman" w:hAnsi="Times New Roman" w:cs="Times New Roman"/>
        </w:rPr>
        <w:t xml:space="preserve">  poskytovateli závěrečné vyúčtování </w:t>
      </w:r>
      <w:r w:rsidR="00E27143">
        <w:rPr>
          <w:rFonts w:ascii="Times New Roman" w:hAnsi="Times New Roman" w:cs="Times New Roman"/>
        </w:rPr>
        <w:t>finanční podpory, jejíž</w:t>
      </w:r>
      <w:r w:rsidR="0075663B" w:rsidRPr="00A40223">
        <w:rPr>
          <w:rFonts w:ascii="Times New Roman" w:hAnsi="Times New Roman" w:cs="Times New Roman"/>
        </w:rPr>
        <w:t xml:space="preserve"> nedílnou součástí je př</w:t>
      </w:r>
      <w:r w:rsidR="00A40223" w:rsidRPr="00A40223">
        <w:rPr>
          <w:rFonts w:ascii="Times New Roman" w:hAnsi="Times New Roman" w:cs="Times New Roman"/>
        </w:rPr>
        <w:t>ehled využití služby obyvateli zapojených</w:t>
      </w:r>
      <w:r w:rsidR="0075663B" w:rsidRPr="00A40223">
        <w:rPr>
          <w:rFonts w:ascii="Times New Roman" w:hAnsi="Times New Roman" w:cs="Times New Roman"/>
        </w:rPr>
        <w:t xml:space="preserve"> obcí, a to nejpozději </w:t>
      </w:r>
      <w:r w:rsidRPr="00A40223">
        <w:rPr>
          <w:rFonts w:ascii="Times New Roman" w:hAnsi="Times New Roman" w:cs="Times New Roman"/>
        </w:rPr>
        <w:t xml:space="preserve">do </w:t>
      </w:r>
      <w:r w:rsidRPr="00A40223">
        <w:rPr>
          <w:rFonts w:ascii="Times New Roman" w:hAnsi="Times New Roman" w:cs="Times New Roman"/>
          <w:b/>
          <w:bCs/>
        </w:rPr>
        <w:t>1</w:t>
      </w:r>
      <w:r w:rsidR="00C41723">
        <w:rPr>
          <w:rFonts w:ascii="Times New Roman" w:hAnsi="Times New Roman" w:cs="Times New Roman"/>
          <w:b/>
          <w:bCs/>
        </w:rPr>
        <w:t>0</w:t>
      </w:r>
      <w:r w:rsidRPr="00A40223">
        <w:rPr>
          <w:rFonts w:ascii="Times New Roman" w:hAnsi="Times New Roman" w:cs="Times New Roman"/>
          <w:b/>
          <w:bCs/>
        </w:rPr>
        <w:t>. února 20</w:t>
      </w:r>
      <w:r w:rsidR="00E508A6" w:rsidRPr="00A40223">
        <w:rPr>
          <w:rFonts w:ascii="Times New Roman" w:hAnsi="Times New Roman" w:cs="Times New Roman"/>
          <w:b/>
          <w:bCs/>
        </w:rPr>
        <w:t>2</w:t>
      </w:r>
      <w:r w:rsidR="00C41723">
        <w:rPr>
          <w:rFonts w:ascii="Times New Roman" w:hAnsi="Times New Roman" w:cs="Times New Roman"/>
          <w:b/>
          <w:bCs/>
        </w:rPr>
        <w:t>5</w:t>
      </w:r>
      <w:r w:rsidRPr="00A40223">
        <w:rPr>
          <w:rFonts w:ascii="Times New Roman" w:hAnsi="Times New Roman" w:cs="Times New Roman"/>
          <w:b/>
          <w:bCs/>
        </w:rPr>
        <w:t xml:space="preserve">. </w:t>
      </w:r>
      <w:r w:rsidR="005205A9" w:rsidRPr="00A40223">
        <w:rPr>
          <w:rFonts w:ascii="Times New Roman" w:hAnsi="Times New Roman" w:cs="Times New Roman"/>
        </w:rPr>
        <w:t>F</w:t>
      </w:r>
      <w:r w:rsidR="00E508A6" w:rsidRPr="00A40223">
        <w:rPr>
          <w:rFonts w:ascii="Times New Roman" w:hAnsi="Times New Roman" w:cs="Times New Roman"/>
        </w:rPr>
        <w:t xml:space="preserve">ormulář pro vyúčtování </w:t>
      </w:r>
      <w:r w:rsidR="00E27143">
        <w:rPr>
          <w:rFonts w:ascii="Times New Roman" w:hAnsi="Times New Roman" w:cs="Times New Roman"/>
        </w:rPr>
        <w:t>finanční podpory</w:t>
      </w:r>
      <w:r w:rsidR="0075663B" w:rsidRPr="00A40223">
        <w:rPr>
          <w:rFonts w:ascii="Times New Roman" w:hAnsi="Times New Roman" w:cs="Times New Roman"/>
        </w:rPr>
        <w:t>, včetně požadované přílohy,</w:t>
      </w:r>
      <w:r w:rsidR="00E508A6" w:rsidRPr="00A40223">
        <w:rPr>
          <w:rFonts w:ascii="Times New Roman" w:hAnsi="Times New Roman" w:cs="Times New Roman"/>
        </w:rPr>
        <w:t xml:space="preserve"> je zveřejněn</w:t>
      </w:r>
      <w:r w:rsidR="0059447F" w:rsidRPr="00A40223">
        <w:rPr>
          <w:rFonts w:ascii="Times New Roman" w:hAnsi="Times New Roman" w:cs="Times New Roman"/>
        </w:rPr>
        <w:t xml:space="preserve"> na webových stránkách města </w:t>
      </w:r>
      <w:r w:rsidR="0059447F" w:rsidRPr="004E3175">
        <w:rPr>
          <w:rFonts w:ascii="Times New Roman" w:hAnsi="Times New Roman" w:cs="Times New Roman"/>
        </w:rPr>
        <w:t xml:space="preserve">Jilemnice </w:t>
      </w:r>
      <w:hyperlink r:id="rId8" w:history="1">
        <w:r w:rsidR="006130EB" w:rsidRPr="00BB1ADF">
          <w:rPr>
            <w:rStyle w:val="Hypertextovodkaz"/>
            <w:rFonts w:ascii="Times New Roman" w:hAnsi="Times New Roman" w:cs="Times New Roman"/>
          </w:rPr>
          <w:t>https://www.mestojilemnice.cz/urad/odbory-uradu/odbor-socialnich-veci/socialni-sluzby/</w:t>
        </w:r>
      </w:hyperlink>
      <w:r w:rsidR="006130EB">
        <w:rPr>
          <w:rFonts w:ascii="Times New Roman" w:hAnsi="Times New Roman" w:cs="Times New Roman"/>
        </w:rPr>
        <w:t xml:space="preserve"> </w:t>
      </w:r>
      <w:r w:rsidR="0059447F" w:rsidRPr="004E3175">
        <w:rPr>
          <w:rFonts w:ascii="Times New Roman" w:hAnsi="Times New Roman" w:cs="Times New Roman"/>
        </w:rPr>
        <w:t xml:space="preserve">. </w:t>
      </w:r>
    </w:p>
    <w:p w14:paraId="3CEF9485" w14:textId="77777777" w:rsidR="00F81A88" w:rsidRPr="00EE0E90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E2174C7" w14:textId="615D758E" w:rsidR="00F81A88" w:rsidRPr="00EE0E90" w:rsidRDefault="00F81A88" w:rsidP="005205A9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Příjemce je povinen využívat </w:t>
      </w:r>
      <w:r w:rsidR="00E27143">
        <w:rPr>
          <w:rFonts w:ascii="Times New Roman" w:hAnsi="Times New Roman" w:cs="Times New Roman"/>
        </w:rPr>
        <w:t>finanční podporu</w:t>
      </w:r>
      <w:r w:rsidRPr="00EE0E90">
        <w:rPr>
          <w:rFonts w:ascii="Times New Roman" w:hAnsi="Times New Roman" w:cs="Times New Roman"/>
        </w:rPr>
        <w:t xml:space="preserve"> co nejhospodárněji a vést řádnou a oddělenou evidenci jeho čerpání.</w:t>
      </w:r>
    </w:p>
    <w:p w14:paraId="7489D48D" w14:textId="77777777" w:rsidR="00F81A88" w:rsidRPr="00EE0E90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66AC1264" w14:textId="77777777" w:rsidR="00F81A88" w:rsidRPr="00EE0E90" w:rsidRDefault="00F81A88" w:rsidP="005205A9">
      <w:pPr>
        <w:numPr>
          <w:ilvl w:val="0"/>
          <w:numId w:val="3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Příjemce je povinen oznámit neprodleně poskytovateli změnu všech identifikačních údajů v této smlouvě.</w:t>
      </w:r>
    </w:p>
    <w:p w14:paraId="724A7931" w14:textId="77777777" w:rsidR="00F81A88" w:rsidRPr="00EE0E90" w:rsidRDefault="00F81A88" w:rsidP="00E508A6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2E183819" w14:textId="70438822" w:rsidR="00F81A88" w:rsidRPr="00EE0E90" w:rsidRDefault="00F81A88" w:rsidP="00E508A6">
      <w:pPr>
        <w:numPr>
          <w:ilvl w:val="0"/>
          <w:numId w:val="3"/>
        </w:numPr>
        <w:spacing w:after="16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Příjemce je povinen případnou nevyčerpanou část </w:t>
      </w:r>
      <w:r w:rsidR="00E27143">
        <w:rPr>
          <w:rFonts w:ascii="Times New Roman" w:hAnsi="Times New Roman" w:cs="Times New Roman"/>
        </w:rPr>
        <w:t>finanční podpory</w:t>
      </w:r>
      <w:r w:rsidR="00C937EC">
        <w:rPr>
          <w:rFonts w:ascii="Times New Roman" w:hAnsi="Times New Roman" w:cs="Times New Roman"/>
        </w:rPr>
        <w:t xml:space="preserve">, </w:t>
      </w:r>
      <w:r w:rsidR="00C937EC" w:rsidRPr="00087893">
        <w:rPr>
          <w:rFonts w:ascii="Times New Roman" w:hAnsi="Times New Roman" w:cs="Times New Roman"/>
        </w:rPr>
        <w:t xml:space="preserve">anebo vyměřenou vratku dle </w:t>
      </w:r>
      <w:r w:rsidR="00E27143">
        <w:rPr>
          <w:rFonts w:ascii="Times New Roman" w:hAnsi="Times New Roman" w:cs="Times New Roman"/>
        </w:rPr>
        <w:br/>
      </w:r>
      <w:r w:rsidR="00C937EC" w:rsidRPr="00087893">
        <w:rPr>
          <w:rFonts w:ascii="Times New Roman" w:hAnsi="Times New Roman" w:cs="Times New Roman"/>
        </w:rPr>
        <w:t xml:space="preserve">čl. </w:t>
      </w:r>
      <w:r w:rsidR="00E27143">
        <w:rPr>
          <w:rFonts w:ascii="Times New Roman" w:hAnsi="Times New Roman" w:cs="Times New Roman"/>
        </w:rPr>
        <w:t>I</w:t>
      </w:r>
      <w:r w:rsidR="00C937EC" w:rsidRPr="00087893">
        <w:rPr>
          <w:rFonts w:ascii="Times New Roman" w:hAnsi="Times New Roman" w:cs="Times New Roman"/>
        </w:rPr>
        <w:t xml:space="preserve">V bod </w:t>
      </w:r>
      <w:r w:rsidR="00E27143">
        <w:rPr>
          <w:rFonts w:ascii="Times New Roman" w:hAnsi="Times New Roman" w:cs="Times New Roman"/>
        </w:rPr>
        <w:t xml:space="preserve">7 </w:t>
      </w:r>
      <w:r w:rsidRPr="00EE0E90">
        <w:rPr>
          <w:rFonts w:ascii="Times New Roman" w:hAnsi="Times New Roman" w:cs="Times New Roman"/>
        </w:rPr>
        <w:t xml:space="preserve">vrátit nejpozději do 30 kalendářních dnů ode dne schválení závěrečného vyúčtování poskytovatelem </w:t>
      </w:r>
      <w:r w:rsidR="004E3175">
        <w:rPr>
          <w:rFonts w:ascii="Times New Roman" w:hAnsi="Times New Roman" w:cs="Times New Roman"/>
        </w:rPr>
        <w:t>příspěvku</w:t>
      </w:r>
      <w:r w:rsidRPr="00EE0E90">
        <w:rPr>
          <w:rFonts w:ascii="Times New Roman" w:hAnsi="Times New Roman" w:cs="Times New Roman"/>
        </w:rPr>
        <w:t xml:space="preserve">. </w:t>
      </w:r>
      <w:r w:rsidR="007E1588">
        <w:rPr>
          <w:rFonts w:ascii="Times New Roman" w:hAnsi="Times New Roman" w:cs="Times New Roman"/>
        </w:rPr>
        <w:t>Peníze budou vráceny</w:t>
      </w:r>
      <w:r w:rsidRPr="00EE0E90">
        <w:rPr>
          <w:rFonts w:ascii="Times New Roman" w:hAnsi="Times New Roman" w:cs="Times New Roman"/>
        </w:rPr>
        <w:t xml:space="preserve"> na účet číslo</w:t>
      </w:r>
      <w:r w:rsidR="007E1588">
        <w:rPr>
          <w:rFonts w:ascii="Times New Roman" w:hAnsi="Times New Roman" w:cs="Times New Roman"/>
        </w:rPr>
        <w:t xml:space="preserve"> </w:t>
      </w:r>
      <w:r w:rsidRPr="00EE0E90">
        <w:rPr>
          <w:rFonts w:ascii="Times New Roman" w:hAnsi="Times New Roman" w:cs="Times New Roman"/>
        </w:rPr>
        <w:t>19-1263091359/0800.</w:t>
      </w:r>
    </w:p>
    <w:p w14:paraId="78EAAFF1" w14:textId="77777777" w:rsidR="009225DB" w:rsidRPr="00EE0E90" w:rsidRDefault="009225DB" w:rsidP="008E6B41">
      <w:pPr>
        <w:spacing w:before="240" w:after="160" w:line="259" w:lineRule="auto"/>
        <w:ind w:left="360"/>
        <w:jc w:val="both"/>
        <w:rPr>
          <w:rFonts w:ascii="Times New Roman" w:hAnsi="Times New Roman" w:cs="Times New Roman"/>
        </w:rPr>
      </w:pPr>
    </w:p>
    <w:p w14:paraId="41C4582A" w14:textId="67B1A511"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 xml:space="preserve">Čl. </w:t>
      </w:r>
      <w:r w:rsidR="00C92982">
        <w:rPr>
          <w:rFonts w:ascii="Times New Roman" w:hAnsi="Times New Roman" w:cs="Times New Roman"/>
          <w:b/>
          <w:bCs/>
        </w:rPr>
        <w:t>I</w:t>
      </w:r>
      <w:r w:rsidRPr="00EE0E90">
        <w:rPr>
          <w:rFonts w:ascii="Times New Roman" w:hAnsi="Times New Roman" w:cs="Times New Roman"/>
          <w:b/>
          <w:bCs/>
        </w:rPr>
        <w:t>V</w:t>
      </w:r>
    </w:p>
    <w:p w14:paraId="24771C33" w14:textId="77777777"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Kontrola, sankce</w:t>
      </w:r>
    </w:p>
    <w:p w14:paraId="08819B4F" w14:textId="77777777"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</w:p>
    <w:p w14:paraId="551C2B06" w14:textId="405B88AF" w:rsidR="00C92982" w:rsidRDefault="00C92982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zrušení oprávnění pro výkon veřejné služby nebo při jejím předčasném ukončení je příjemce povinen vrátit nevyčerpanou část platby ve výši odpovídající měsíčnímu podílu z celkové platby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a počtu měsíců nerealizované činnosti, a to ve lhůtě 30 dnů od ukončení činnosti na účet poskytovatele číslo </w:t>
      </w:r>
      <w:r w:rsidRPr="00EE0E90">
        <w:rPr>
          <w:rFonts w:ascii="Times New Roman" w:hAnsi="Times New Roman" w:cs="Times New Roman"/>
        </w:rPr>
        <w:t>19-1263091359/0800</w:t>
      </w:r>
      <w:r>
        <w:rPr>
          <w:rFonts w:ascii="Times New Roman" w:hAnsi="Times New Roman" w:cs="Times New Roman"/>
        </w:rPr>
        <w:t xml:space="preserve"> s variabilním symbolem, který je shodný s registračním číslem služby.</w:t>
      </w:r>
    </w:p>
    <w:p w14:paraId="2DF45301" w14:textId="77777777" w:rsidR="00C92982" w:rsidRDefault="00C92982" w:rsidP="00C92982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14:paraId="3B08EDE8" w14:textId="33FE4CAE" w:rsidR="00C92982" w:rsidRPr="00C20753" w:rsidRDefault="00C92982" w:rsidP="00C20753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rozhodnutí o přeměně příjemce, fúzi, zániku s likvidací či rozdělení na dva či více samostatných subjektů v době účinnosti této smlouvy je příjemce povinen neprodleně kontaktovat poskytovatele za účelem  sdělení informace, jak poskytnut</w:t>
      </w:r>
      <w:r w:rsidR="000F0AB5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0F0AB5">
        <w:rPr>
          <w:rFonts w:ascii="Times New Roman" w:hAnsi="Times New Roman" w:cs="Times New Roman"/>
        </w:rPr>
        <w:t>finanční podporu</w:t>
      </w:r>
      <w:r>
        <w:rPr>
          <w:rFonts w:ascii="Times New Roman" w:hAnsi="Times New Roman" w:cs="Times New Roman"/>
        </w:rPr>
        <w:t xml:space="preserve"> vypořádat v návaznosti na tuto skutečnost. V případě, že dochází u příjemce k zániku s likvidací, je příjemce povinen vrátit ne</w:t>
      </w:r>
      <w:r w:rsidR="00C2075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čerpané prostředky</w:t>
      </w:r>
      <w:r w:rsidR="00C20753">
        <w:rPr>
          <w:rFonts w:ascii="Times New Roman" w:hAnsi="Times New Roman" w:cs="Times New Roman"/>
        </w:rPr>
        <w:t xml:space="preserve">  poskytovateli, a to nejpozději do zahájení likvidace příjemce. V případě, že v důsledku zániku příjemce s likvidací není možné provést činnosti, na které byl</w:t>
      </w:r>
      <w:r w:rsidR="000F0AB5">
        <w:rPr>
          <w:rFonts w:ascii="Times New Roman" w:hAnsi="Times New Roman" w:cs="Times New Roman"/>
        </w:rPr>
        <w:t>a</w:t>
      </w:r>
      <w:r w:rsidR="00C20753">
        <w:rPr>
          <w:rFonts w:ascii="Times New Roman" w:hAnsi="Times New Roman" w:cs="Times New Roman"/>
        </w:rPr>
        <w:t xml:space="preserve"> </w:t>
      </w:r>
      <w:r w:rsidR="000F0AB5">
        <w:rPr>
          <w:rFonts w:ascii="Times New Roman" w:hAnsi="Times New Roman" w:cs="Times New Roman"/>
        </w:rPr>
        <w:t>finanční podpora</w:t>
      </w:r>
      <w:r w:rsidR="00C20753">
        <w:rPr>
          <w:rFonts w:ascii="Times New Roman" w:hAnsi="Times New Roman" w:cs="Times New Roman"/>
        </w:rPr>
        <w:t xml:space="preserve"> poskytnut</w:t>
      </w:r>
      <w:r w:rsidR="000F0AB5">
        <w:rPr>
          <w:rFonts w:ascii="Times New Roman" w:hAnsi="Times New Roman" w:cs="Times New Roman"/>
        </w:rPr>
        <w:t>a</w:t>
      </w:r>
      <w:r w:rsidR="00C20753">
        <w:rPr>
          <w:rFonts w:ascii="Times New Roman" w:hAnsi="Times New Roman" w:cs="Times New Roman"/>
        </w:rPr>
        <w:t>, je příjemce povinen vrátit celou částku poskytnuté finanční podpory poskytovateli, a to nejpozději do zahájení likvidace příjemce. Pokud příjemce nevrátí do lhůt uvedených výše poskytnutý příspěvek, stávají</w:t>
      </w:r>
      <w:r w:rsidR="00C20753" w:rsidRPr="00C20753">
        <w:rPr>
          <w:rFonts w:ascii="Times New Roman" w:hAnsi="Times New Roman" w:cs="Times New Roman"/>
        </w:rPr>
        <w:t xml:space="preserve"> s</w:t>
      </w:r>
      <w:r w:rsidR="000F0AB5">
        <w:rPr>
          <w:rFonts w:ascii="Times New Roman" w:hAnsi="Times New Roman" w:cs="Times New Roman"/>
        </w:rPr>
        <w:t>e</w:t>
      </w:r>
      <w:r w:rsidR="00C20753" w:rsidRPr="00C20753">
        <w:rPr>
          <w:rFonts w:ascii="Times New Roman" w:hAnsi="Times New Roman" w:cs="Times New Roman"/>
        </w:rPr>
        <w:t xml:space="preserve"> prostředky finanční podpory zadrženými ve smyslu § 22 a následující zákona </w:t>
      </w:r>
      <w:r w:rsidR="00C41723">
        <w:rPr>
          <w:rFonts w:ascii="Times New Roman" w:hAnsi="Times New Roman" w:cs="Times New Roman"/>
        </w:rPr>
        <w:br/>
      </w:r>
      <w:r w:rsidR="00C20753" w:rsidRPr="00C20753">
        <w:rPr>
          <w:rFonts w:ascii="Times New Roman" w:hAnsi="Times New Roman" w:cs="Times New Roman"/>
        </w:rPr>
        <w:t>č. 250/2000 Sb., o rozpočtových pravidlech územních rozpočtů, ve znění pozdějších předpisů, a bude postupováno dle tohoto zákona.</w:t>
      </w:r>
    </w:p>
    <w:p w14:paraId="5E31401A" w14:textId="77777777" w:rsidR="00C92982" w:rsidRDefault="00C92982" w:rsidP="00C92982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14:paraId="6F2FE3D0" w14:textId="16D3D405"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Příslušné kontrolní orgány poskytovatele jsou oprávněny v souladu se zákonem č. 320/2001 Sb., o finanční kontrole, v platném znění, kontrolovat dodržení podmínek, za kterých je </w:t>
      </w:r>
      <w:r w:rsidR="000F0AB5">
        <w:rPr>
          <w:rFonts w:ascii="Times New Roman" w:hAnsi="Times New Roman" w:cs="Times New Roman"/>
        </w:rPr>
        <w:t>finanční podpora</w:t>
      </w:r>
      <w:r w:rsidRPr="00EE0E90">
        <w:rPr>
          <w:rFonts w:ascii="Times New Roman" w:hAnsi="Times New Roman" w:cs="Times New Roman"/>
        </w:rPr>
        <w:t xml:space="preserve"> poskytnut</w:t>
      </w:r>
      <w:r w:rsidR="000F0AB5">
        <w:rPr>
          <w:rFonts w:ascii="Times New Roman" w:hAnsi="Times New Roman" w:cs="Times New Roman"/>
        </w:rPr>
        <w:t>a</w:t>
      </w:r>
      <w:r w:rsidRPr="00EE0E90">
        <w:rPr>
          <w:rFonts w:ascii="Times New Roman" w:hAnsi="Times New Roman" w:cs="Times New Roman"/>
        </w:rPr>
        <w:t>.</w:t>
      </w:r>
    </w:p>
    <w:p w14:paraId="1B4392A8" w14:textId="77777777" w:rsidR="00F81A88" w:rsidRPr="00EE0E90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0A5E06AF" w14:textId="26809EB7"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Příjemce je povinen v rámci výkonu kontrolní činnosti dle odst. 1 tohoto článku předložit kontrolním orgánům poskytovatele k nahlédnutí originály všech účetních dokladů týkajících se čerpání </w:t>
      </w:r>
      <w:r w:rsidR="000F0AB5">
        <w:rPr>
          <w:rFonts w:ascii="Times New Roman" w:hAnsi="Times New Roman" w:cs="Times New Roman"/>
        </w:rPr>
        <w:t>finanční podpory</w:t>
      </w:r>
      <w:r w:rsidRPr="00EE0E90">
        <w:rPr>
          <w:rFonts w:ascii="Times New Roman" w:hAnsi="Times New Roman" w:cs="Times New Roman"/>
        </w:rPr>
        <w:t>.</w:t>
      </w:r>
    </w:p>
    <w:p w14:paraId="54331E45" w14:textId="77777777" w:rsidR="00F81A88" w:rsidRPr="00EE0E90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481D2DD5" w14:textId="171DBF92"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Příjemce bere na vědomí, že porušení povinností, vyplývajících mu z této smlouvy, bude řešeno jako porušení rozpočtové kázně v souladu s příslušnými ustanoveními zákona č. 250/2000 Sb., </w:t>
      </w:r>
      <w:r w:rsidR="00A40223">
        <w:rPr>
          <w:rFonts w:ascii="Times New Roman" w:hAnsi="Times New Roman" w:cs="Times New Roman"/>
        </w:rPr>
        <w:br/>
      </w:r>
      <w:r w:rsidRPr="00EE0E90">
        <w:rPr>
          <w:rFonts w:ascii="Times New Roman" w:hAnsi="Times New Roman" w:cs="Times New Roman"/>
        </w:rPr>
        <w:t xml:space="preserve">o rozpočtových pravidlech územních rozpočtů, </w:t>
      </w:r>
      <w:r w:rsidR="00081614">
        <w:rPr>
          <w:rFonts w:ascii="Times New Roman" w:hAnsi="Times New Roman" w:cs="Times New Roman"/>
        </w:rPr>
        <w:t>ve znění pozdějších předpisů</w:t>
      </w:r>
      <w:r w:rsidRPr="00EE0E90">
        <w:rPr>
          <w:rFonts w:ascii="Times New Roman" w:hAnsi="Times New Roman" w:cs="Times New Roman"/>
        </w:rPr>
        <w:t>.</w:t>
      </w:r>
    </w:p>
    <w:p w14:paraId="22742C62" w14:textId="77777777"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5DD76392" w14:textId="4F091B45" w:rsidR="00F81A88" w:rsidRPr="00EE0E90" w:rsidRDefault="00F81A88" w:rsidP="008E6B41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Jestliže příjemce nesplní některou ze svých povinností stanovených touto smlouvou, má poskytovatel právo od smlouvy odstoupit a od příjemce požadovat, aby ve lhůtě, kterou mu pro tento případ stanoví, poskytnut</w:t>
      </w:r>
      <w:r w:rsidR="000F0AB5">
        <w:rPr>
          <w:rFonts w:ascii="Times New Roman" w:hAnsi="Times New Roman" w:cs="Times New Roman"/>
        </w:rPr>
        <w:t>ou</w:t>
      </w:r>
      <w:r w:rsidRPr="00EE0E90">
        <w:rPr>
          <w:rFonts w:ascii="Times New Roman" w:hAnsi="Times New Roman" w:cs="Times New Roman"/>
        </w:rPr>
        <w:t xml:space="preserve"> </w:t>
      </w:r>
      <w:r w:rsidR="000F0AB5">
        <w:rPr>
          <w:rFonts w:ascii="Times New Roman" w:hAnsi="Times New Roman" w:cs="Times New Roman"/>
        </w:rPr>
        <w:t>finanční podporu</w:t>
      </w:r>
      <w:r w:rsidRPr="00EE0E90">
        <w:rPr>
          <w:rFonts w:ascii="Times New Roman" w:hAnsi="Times New Roman" w:cs="Times New Roman"/>
        </w:rPr>
        <w:t xml:space="preserve"> či je</w:t>
      </w:r>
      <w:r w:rsidR="000F0AB5">
        <w:rPr>
          <w:rFonts w:ascii="Times New Roman" w:hAnsi="Times New Roman" w:cs="Times New Roman"/>
        </w:rPr>
        <w:t>jí</w:t>
      </w:r>
      <w:r w:rsidRPr="00EE0E90">
        <w:rPr>
          <w:rFonts w:ascii="Times New Roman" w:hAnsi="Times New Roman" w:cs="Times New Roman"/>
        </w:rPr>
        <w:t xml:space="preserve"> poměrnou část vrátil.</w:t>
      </w:r>
    </w:p>
    <w:p w14:paraId="015CA5EF" w14:textId="77777777" w:rsidR="00FF1801" w:rsidRDefault="00FF1801" w:rsidP="00FF1801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14:paraId="5A5679A5" w14:textId="7BD23AEC" w:rsidR="00FF1801" w:rsidRPr="00FF1801" w:rsidRDefault="00FF1801" w:rsidP="00087893">
      <w:pPr>
        <w:numPr>
          <w:ilvl w:val="0"/>
          <w:numId w:val="2"/>
        </w:numPr>
        <w:spacing w:after="0" w:line="259" w:lineRule="auto"/>
        <w:ind w:left="709"/>
        <w:jc w:val="both"/>
        <w:rPr>
          <w:rFonts w:ascii="Times New Roman" w:hAnsi="Times New Roman" w:cs="Times New Roman"/>
        </w:rPr>
      </w:pPr>
      <w:r w:rsidRPr="00FF1801">
        <w:rPr>
          <w:rFonts w:ascii="Times New Roman" w:hAnsi="Times New Roman" w:cs="Times New Roman"/>
        </w:rPr>
        <w:t>Při nedodržení závazných ukazatelů uvedených v čl. I</w:t>
      </w:r>
      <w:r w:rsidR="00C92982">
        <w:rPr>
          <w:rFonts w:ascii="Times New Roman" w:hAnsi="Times New Roman" w:cs="Times New Roman"/>
        </w:rPr>
        <w:t>II</w:t>
      </w:r>
      <w:r w:rsidRPr="00FF1801">
        <w:rPr>
          <w:rFonts w:ascii="Times New Roman" w:hAnsi="Times New Roman" w:cs="Times New Roman"/>
        </w:rPr>
        <w:t xml:space="preserve"> bod 1 bude provedeno krácení vyplacené</w:t>
      </w:r>
      <w:r w:rsidR="000F0AB5">
        <w:rPr>
          <w:rFonts w:ascii="Times New Roman" w:hAnsi="Times New Roman" w:cs="Times New Roman"/>
        </w:rPr>
        <w:t xml:space="preserve"> finanční podpory</w:t>
      </w:r>
      <w:r w:rsidRPr="00FF1801">
        <w:rPr>
          <w:rFonts w:ascii="Times New Roman" w:hAnsi="Times New Roman" w:cs="Times New Roman"/>
        </w:rPr>
        <w:t>:</w:t>
      </w:r>
    </w:p>
    <w:p w14:paraId="42859525" w14:textId="54D53DC3" w:rsidR="00A40223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F1801">
        <w:rPr>
          <w:rFonts w:ascii="Times New Roman" w:hAnsi="Times New Roman" w:cs="Times New Roman"/>
        </w:rPr>
        <w:t xml:space="preserve">ři naplnění </w:t>
      </w:r>
      <w:r>
        <w:rPr>
          <w:rFonts w:ascii="Times New Roman" w:hAnsi="Times New Roman" w:cs="Times New Roman"/>
        </w:rPr>
        <w:t>závazných ukazatelů</w:t>
      </w:r>
      <w:r w:rsidRPr="00FF1801">
        <w:rPr>
          <w:rFonts w:ascii="Times New Roman" w:hAnsi="Times New Roman" w:cs="Times New Roman"/>
        </w:rPr>
        <w:t xml:space="preserve"> v rozsahu </w:t>
      </w:r>
      <w:r>
        <w:rPr>
          <w:rFonts w:ascii="Times New Roman" w:hAnsi="Times New Roman" w:cs="Times New Roman"/>
        </w:rPr>
        <w:t xml:space="preserve">80 – 100% nebude </w:t>
      </w:r>
      <w:r w:rsidR="000F0AB5">
        <w:rPr>
          <w:rFonts w:ascii="Times New Roman" w:hAnsi="Times New Roman" w:cs="Times New Roman"/>
        </w:rPr>
        <w:t>finanční podpora</w:t>
      </w:r>
      <w:r w:rsidR="00486AC5">
        <w:rPr>
          <w:rFonts w:ascii="Times New Roman" w:hAnsi="Times New Roman" w:cs="Times New Roman"/>
        </w:rPr>
        <w:t xml:space="preserve"> krácen</w:t>
      </w:r>
      <w:r w:rsidR="000F0AB5">
        <w:rPr>
          <w:rFonts w:ascii="Times New Roman" w:hAnsi="Times New Roman" w:cs="Times New Roman"/>
        </w:rPr>
        <w:t>a</w:t>
      </w:r>
    </w:p>
    <w:p w14:paraId="19B78875" w14:textId="77A34BCB" w:rsid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naplnění závazných ukazatelů</w:t>
      </w:r>
      <w:r w:rsidR="00C937EC" w:rsidRPr="00C937EC">
        <w:rPr>
          <w:rFonts w:ascii="Times New Roman" w:hAnsi="Times New Roman" w:cs="Times New Roman"/>
        </w:rPr>
        <w:t xml:space="preserve"> </w:t>
      </w:r>
      <w:r w:rsidR="00C937EC">
        <w:rPr>
          <w:rFonts w:ascii="Times New Roman" w:hAnsi="Times New Roman" w:cs="Times New Roman"/>
        </w:rPr>
        <w:t>v rozsahu</w:t>
      </w:r>
      <w:r>
        <w:rPr>
          <w:rFonts w:ascii="Times New Roman" w:hAnsi="Times New Roman" w:cs="Times New Roman"/>
        </w:rPr>
        <w:t xml:space="preserve"> 60 – 79% bude </w:t>
      </w:r>
      <w:r w:rsidR="000F0AB5" w:rsidRPr="000F0AB5">
        <w:rPr>
          <w:rFonts w:ascii="Times New Roman" w:hAnsi="Times New Roman" w:cs="Times New Roman"/>
        </w:rPr>
        <w:t xml:space="preserve">finanční podpora krácena </w:t>
      </w:r>
      <w:r>
        <w:rPr>
          <w:rFonts w:ascii="Times New Roman" w:hAnsi="Times New Roman" w:cs="Times New Roman"/>
        </w:rPr>
        <w:t>o 30%</w:t>
      </w:r>
    </w:p>
    <w:p w14:paraId="30FAA614" w14:textId="4D65A975" w:rsid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naplnění závazných ukazatelů</w:t>
      </w:r>
      <w:r w:rsidRPr="00FF1801">
        <w:rPr>
          <w:rFonts w:ascii="Times New Roman" w:hAnsi="Times New Roman" w:cs="Times New Roman"/>
        </w:rPr>
        <w:t xml:space="preserve"> </w:t>
      </w:r>
      <w:r w:rsidR="00C937EC">
        <w:rPr>
          <w:rFonts w:ascii="Times New Roman" w:hAnsi="Times New Roman" w:cs="Times New Roman"/>
        </w:rPr>
        <w:t xml:space="preserve">v rozsahu </w:t>
      </w:r>
      <w:r>
        <w:rPr>
          <w:rFonts w:ascii="Times New Roman" w:hAnsi="Times New Roman" w:cs="Times New Roman"/>
        </w:rPr>
        <w:t xml:space="preserve">40 – 59% bude </w:t>
      </w:r>
      <w:r w:rsidR="000F0AB5" w:rsidRPr="000F0AB5">
        <w:rPr>
          <w:rFonts w:ascii="Times New Roman" w:hAnsi="Times New Roman" w:cs="Times New Roman"/>
        </w:rPr>
        <w:t xml:space="preserve">finanční podpora krácena </w:t>
      </w:r>
      <w:r>
        <w:rPr>
          <w:rFonts w:ascii="Times New Roman" w:hAnsi="Times New Roman" w:cs="Times New Roman"/>
        </w:rPr>
        <w:t>o 50%</w:t>
      </w:r>
    </w:p>
    <w:p w14:paraId="1AC2223D" w14:textId="7934DB4E" w:rsid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naplnění závazných ukazatelů</w:t>
      </w:r>
      <w:r w:rsidRPr="00FF1801">
        <w:rPr>
          <w:rFonts w:ascii="Times New Roman" w:hAnsi="Times New Roman" w:cs="Times New Roman"/>
        </w:rPr>
        <w:t xml:space="preserve"> </w:t>
      </w:r>
      <w:r w:rsidR="00C937EC">
        <w:rPr>
          <w:rFonts w:ascii="Times New Roman" w:hAnsi="Times New Roman" w:cs="Times New Roman"/>
        </w:rPr>
        <w:t xml:space="preserve">v rozsahu </w:t>
      </w:r>
      <w:r>
        <w:rPr>
          <w:rFonts w:ascii="Times New Roman" w:hAnsi="Times New Roman" w:cs="Times New Roman"/>
        </w:rPr>
        <w:t xml:space="preserve">20 – 39% bude </w:t>
      </w:r>
      <w:r w:rsidR="000F0AB5">
        <w:t xml:space="preserve">finanční podpora krácena </w:t>
      </w:r>
      <w:r>
        <w:rPr>
          <w:rFonts w:ascii="Times New Roman" w:hAnsi="Times New Roman" w:cs="Times New Roman"/>
        </w:rPr>
        <w:t>o 70%</w:t>
      </w:r>
    </w:p>
    <w:p w14:paraId="24A830E3" w14:textId="417E93D8" w:rsidR="00FF1801" w:rsidRPr="00FF1801" w:rsidRDefault="00FF1801" w:rsidP="00087893">
      <w:pPr>
        <w:spacing w:after="0" w:line="259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naplnění závazných ukazatelů v rozsahu </w:t>
      </w:r>
      <w:r w:rsidR="00C937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0 -</w:t>
      </w:r>
      <w:r w:rsidR="00C937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19% bude </w:t>
      </w:r>
      <w:r w:rsidR="000F0AB5">
        <w:t xml:space="preserve">finanční podpora krácena </w:t>
      </w:r>
      <w:r w:rsidR="00C937EC">
        <w:rPr>
          <w:rFonts w:ascii="Times New Roman" w:hAnsi="Times New Roman" w:cs="Times New Roman"/>
        </w:rPr>
        <w:t>o 100%</w:t>
      </w:r>
    </w:p>
    <w:p w14:paraId="63684D2E" w14:textId="77777777" w:rsidR="00A40223" w:rsidRDefault="00A40223" w:rsidP="00087893">
      <w:pPr>
        <w:pStyle w:val="Odstavecseseznamem"/>
        <w:rPr>
          <w:rFonts w:ascii="Times New Roman" w:hAnsi="Times New Roman" w:cs="Times New Roman"/>
        </w:rPr>
      </w:pPr>
    </w:p>
    <w:p w14:paraId="3365B9F3" w14:textId="77777777"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609B69C1" w14:textId="77777777" w:rsidR="00F81A88" w:rsidRPr="00EE0E90" w:rsidRDefault="00F81A88" w:rsidP="008E6B4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14:paraId="45350015" w14:textId="068BD7BE"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Čl. V</w:t>
      </w:r>
    </w:p>
    <w:p w14:paraId="1D50FFD8" w14:textId="77777777" w:rsidR="00F81A88" w:rsidRPr="00EE0E90" w:rsidRDefault="00F81A88" w:rsidP="008E6B41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EE0E90">
        <w:rPr>
          <w:rFonts w:ascii="Times New Roman" w:hAnsi="Times New Roman" w:cs="Times New Roman"/>
          <w:b/>
          <w:bCs/>
        </w:rPr>
        <w:t>Závěrečn</w:t>
      </w:r>
      <w:r w:rsidR="00A40223">
        <w:rPr>
          <w:rFonts w:ascii="Times New Roman" w:hAnsi="Times New Roman" w:cs="Times New Roman"/>
          <w:b/>
          <w:bCs/>
        </w:rPr>
        <w:t>á</w:t>
      </w:r>
      <w:r w:rsidRPr="00EE0E90">
        <w:rPr>
          <w:rFonts w:ascii="Times New Roman" w:hAnsi="Times New Roman" w:cs="Times New Roman"/>
          <w:b/>
          <w:bCs/>
        </w:rPr>
        <w:t xml:space="preserve"> ustanovení</w:t>
      </w:r>
    </w:p>
    <w:p w14:paraId="4773CF9E" w14:textId="77777777"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</w:p>
    <w:p w14:paraId="40F0CB8C" w14:textId="77777777" w:rsidR="00F81A88" w:rsidRPr="00EE0E90" w:rsidRDefault="00F81A88" w:rsidP="008E6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Smluvní strany prohlašují, že jsou plně svéprávné a že si tuto smlouvu před jejím podpisem přečetly, jejímu obsahu rozumí a bez výhrad s ním souhlasí. Smluvní strany dále prohlašují, že tato smlouva je výrazem jejich svobodné a vážné vůle prosté omylu či tísně, je dostatečně určitá a srozumitelná, na důkaz čehož připojují níže své podpisy.</w:t>
      </w:r>
    </w:p>
    <w:p w14:paraId="70BD89F4" w14:textId="77777777" w:rsidR="00F81A88" w:rsidRPr="00EE0E90" w:rsidRDefault="00F81A88" w:rsidP="008E6B41">
      <w:pPr>
        <w:spacing w:after="0" w:line="259" w:lineRule="auto"/>
        <w:ind w:left="349"/>
        <w:jc w:val="both"/>
        <w:rPr>
          <w:rFonts w:ascii="Times New Roman" w:hAnsi="Times New Roman" w:cs="Times New Roman"/>
        </w:rPr>
      </w:pPr>
    </w:p>
    <w:p w14:paraId="32625C83" w14:textId="77777777" w:rsidR="00F81A88" w:rsidRPr="00EE0E90" w:rsidRDefault="00F81A88" w:rsidP="008E6B41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14:paraId="0283E5A2" w14:textId="77777777"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190D3BBD" w14:textId="57ECD7C2" w:rsidR="00257F39" w:rsidRPr="00EE0E90" w:rsidRDefault="00257F39" w:rsidP="00257F3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lastRenderedPageBreak/>
        <w:t>V p</w:t>
      </w:r>
      <w:r w:rsidR="00F87D27">
        <w:rPr>
          <w:rFonts w:ascii="Times New Roman" w:hAnsi="Times New Roman" w:cs="Times New Roman"/>
        </w:rPr>
        <w:t>řípadě, že poskytnut</w:t>
      </w:r>
      <w:r w:rsidR="000F0AB5">
        <w:rPr>
          <w:rFonts w:ascii="Times New Roman" w:hAnsi="Times New Roman" w:cs="Times New Roman"/>
        </w:rPr>
        <w:t>á</w:t>
      </w:r>
      <w:r w:rsidR="00F87D27">
        <w:rPr>
          <w:rFonts w:ascii="Times New Roman" w:hAnsi="Times New Roman" w:cs="Times New Roman"/>
        </w:rPr>
        <w:t xml:space="preserve"> </w:t>
      </w:r>
      <w:r w:rsidR="000F0AB5">
        <w:rPr>
          <w:rFonts w:ascii="Times New Roman" w:hAnsi="Times New Roman" w:cs="Times New Roman"/>
        </w:rPr>
        <w:t>finanční podpora</w:t>
      </w:r>
      <w:r w:rsidR="00F87D27">
        <w:rPr>
          <w:rFonts w:ascii="Times New Roman" w:hAnsi="Times New Roman" w:cs="Times New Roman"/>
        </w:rPr>
        <w:t xml:space="preserve"> </w:t>
      </w:r>
      <w:r w:rsidR="00F87D27" w:rsidRPr="00087893">
        <w:rPr>
          <w:rFonts w:ascii="Times New Roman" w:hAnsi="Times New Roman" w:cs="Times New Roman"/>
        </w:rPr>
        <w:t xml:space="preserve">má hodnotu alespoň </w:t>
      </w:r>
      <w:r w:rsidRPr="00087893">
        <w:rPr>
          <w:rFonts w:ascii="Times New Roman" w:hAnsi="Times New Roman" w:cs="Times New Roman"/>
        </w:rPr>
        <w:t>50</w:t>
      </w:r>
      <w:r w:rsidR="00F87D27" w:rsidRPr="00087893">
        <w:rPr>
          <w:rFonts w:ascii="Times New Roman" w:hAnsi="Times New Roman" w:cs="Times New Roman"/>
        </w:rPr>
        <w:t>.</w:t>
      </w:r>
      <w:r w:rsidRPr="00087893">
        <w:rPr>
          <w:rFonts w:ascii="Times New Roman" w:hAnsi="Times New Roman" w:cs="Times New Roman"/>
        </w:rPr>
        <w:t>000 Kč,</w:t>
      </w:r>
      <w:r w:rsidRPr="00EE0E90">
        <w:rPr>
          <w:rFonts w:ascii="Times New Roman" w:hAnsi="Times New Roman" w:cs="Times New Roman"/>
        </w:rPr>
        <w:t xml:space="preserve"> podléhá smlouva zveřejnění v Registru smluv dle zákona č. 340/2015 Sb. v platném znění. Smlouvu do 30 dnů od jejího uzavření zveřejní poskytovatel.</w:t>
      </w:r>
    </w:p>
    <w:p w14:paraId="2BB98ADE" w14:textId="761ED787" w:rsidR="00257F39" w:rsidRPr="00EE0E90" w:rsidRDefault="00946929" w:rsidP="000D7F7C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</w:t>
      </w:r>
      <w:r w:rsidR="000F0AB5">
        <w:rPr>
          <w:rFonts w:ascii="Times New Roman" w:hAnsi="Times New Roman" w:cs="Times New Roman"/>
        </w:rPr>
        <w:t>á</w:t>
      </w:r>
      <w:r w:rsidR="00257F39" w:rsidRPr="00EE0E90">
        <w:rPr>
          <w:rFonts w:ascii="Times New Roman" w:hAnsi="Times New Roman" w:cs="Times New Roman"/>
        </w:rPr>
        <w:t xml:space="preserve"> </w:t>
      </w:r>
      <w:r w:rsidR="000F0AB5">
        <w:rPr>
          <w:rFonts w:ascii="Times New Roman" w:hAnsi="Times New Roman" w:cs="Times New Roman"/>
        </w:rPr>
        <w:t>finanční podpora</w:t>
      </w:r>
      <w:r w:rsidR="00257F39" w:rsidRPr="00EE0E90">
        <w:rPr>
          <w:rFonts w:ascii="Times New Roman" w:hAnsi="Times New Roman" w:cs="Times New Roman"/>
        </w:rPr>
        <w:t xml:space="preserve"> je veřejnou finanční podporou ve smyslu zákona č. 320/2001 Sb., </w:t>
      </w:r>
      <w:r w:rsidR="00C20428">
        <w:rPr>
          <w:rFonts w:ascii="Times New Roman" w:hAnsi="Times New Roman" w:cs="Times New Roman"/>
        </w:rPr>
        <w:br/>
      </w:r>
      <w:r w:rsidR="00257F39" w:rsidRPr="00EE0E90">
        <w:rPr>
          <w:rFonts w:ascii="Times New Roman" w:hAnsi="Times New Roman" w:cs="Times New Roman"/>
        </w:rPr>
        <w:t>o finanční kontrole, ve znění pozdějších předpisů.</w:t>
      </w:r>
    </w:p>
    <w:p w14:paraId="081142E4" w14:textId="7AF8F92C" w:rsidR="000D7F7C" w:rsidRPr="00EE0E90" w:rsidRDefault="000D7F7C" w:rsidP="000D7F7C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>Příjemce bere  na vědomí, že na základě podpisu této smlouvy poskyt</w:t>
      </w:r>
      <w:r w:rsidR="0078637B" w:rsidRPr="00EE0E90">
        <w:rPr>
          <w:rFonts w:ascii="Times New Roman" w:hAnsi="Times New Roman" w:cs="Times New Roman"/>
        </w:rPr>
        <w:t xml:space="preserve">ne </w:t>
      </w:r>
      <w:r w:rsidRPr="00EE0E90">
        <w:rPr>
          <w:rFonts w:ascii="Times New Roman" w:hAnsi="Times New Roman" w:cs="Times New Roman"/>
        </w:rPr>
        <w:t>městu Jilemnice, správci osobních údajů ve smyslu Nařízení o ochraně osobních údajů, tzv. GDPR, mj. osobní údaje o fyzické osobě/-</w:t>
      </w:r>
      <w:proofErr w:type="spellStart"/>
      <w:r w:rsidRPr="00EE0E90">
        <w:rPr>
          <w:rFonts w:ascii="Times New Roman" w:hAnsi="Times New Roman" w:cs="Times New Roman"/>
        </w:rPr>
        <w:t>ách</w:t>
      </w:r>
      <w:proofErr w:type="spellEnd"/>
      <w:r w:rsidRPr="00EE0E90">
        <w:rPr>
          <w:rFonts w:ascii="Times New Roman" w:hAnsi="Times New Roman" w:cs="Times New Roman"/>
        </w:rPr>
        <w:t xml:space="preserve">, </w:t>
      </w:r>
      <w:r w:rsidR="0078637B" w:rsidRPr="00EE0E90">
        <w:rPr>
          <w:rFonts w:ascii="Times New Roman" w:hAnsi="Times New Roman" w:cs="Times New Roman"/>
        </w:rPr>
        <w:t>pro něž byla dotace využita</w:t>
      </w:r>
      <w:r w:rsidRPr="00EE0E90">
        <w:rPr>
          <w:rFonts w:ascii="Times New Roman" w:hAnsi="Times New Roman" w:cs="Times New Roman"/>
        </w:rPr>
        <w:t>. Osobní údaje jsou vyžadovány pouze v rozsahu nezbytně nutném k</w:t>
      </w:r>
      <w:r w:rsidR="0078637B" w:rsidRPr="00EE0E90">
        <w:rPr>
          <w:rFonts w:ascii="Times New Roman" w:hAnsi="Times New Roman" w:cs="Times New Roman"/>
        </w:rPr>
        <w:t xml:space="preserve"> posouzení naplnění účelu čerpání </w:t>
      </w:r>
      <w:r w:rsidR="000F0AB5">
        <w:rPr>
          <w:rFonts w:ascii="Times New Roman" w:hAnsi="Times New Roman" w:cs="Times New Roman"/>
        </w:rPr>
        <w:t>finanční podpory</w:t>
      </w:r>
      <w:r w:rsidRPr="00EE0E90">
        <w:rPr>
          <w:rFonts w:ascii="Times New Roman" w:hAnsi="Times New Roman" w:cs="Times New Roman"/>
        </w:rPr>
        <w:t>. Osobní údaje nejste povinni poskytnout, nicméně bez nich nelze</w:t>
      </w:r>
      <w:r w:rsidR="0094274F">
        <w:rPr>
          <w:rFonts w:ascii="Times New Roman" w:hAnsi="Times New Roman" w:cs="Times New Roman"/>
        </w:rPr>
        <w:t xml:space="preserve"> posoudit</w:t>
      </w:r>
      <w:r w:rsidRPr="00EE0E90">
        <w:rPr>
          <w:rFonts w:ascii="Times New Roman" w:hAnsi="Times New Roman" w:cs="Times New Roman"/>
        </w:rPr>
        <w:t xml:space="preserve"> </w:t>
      </w:r>
      <w:r w:rsidR="0078637B" w:rsidRPr="00EE0E90">
        <w:rPr>
          <w:rFonts w:ascii="Times New Roman" w:hAnsi="Times New Roman" w:cs="Times New Roman"/>
        </w:rPr>
        <w:t>účelnost, hospodárnost a efektivnost poskytnutých prostředků</w:t>
      </w:r>
      <w:r w:rsidRPr="00EE0E90">
        <w:rPr>
          <w:rFonts w:ascii="Times New Roman" w:hAnsi="Times New Roman" w:cs="Times New Roman"/>
        </w:rPr>
        <w:t xml:space="preserve">. Osobní údaje </w:t>
      </w:r>
      <w:r w:rsidR="0078637B" w:rsidRPr="00EE0E90">
        <w:rPr>
          <w:rFonts w:ascii="Times New Roman" w:hAnsi="Times New Roman" w:cs="Times New Roman"/>
        </w:rPr>
        <w:t>poskytnuté v souvislosti s naplňováním účelu dotace</w:t>
      </w:r>
      <w:r w:rsidRPr="00EE0E90">
        <w:rPr>
          <w:rFonts w:ascii="Times New Roman" w:hAnsi="Times New Roman" w:cs="Times New Roman"/>
        </w:rPr>
        <w:t xml:space="preserve"> bude správce oprávněn zpracovávat na základě právního titulu dle  čl. 6 odst. 1 písm. b) GDPR, tj. osobní údaje jsou nezbytné pro splnění smlouvy, jejíž smluvní stranou </w:t>
      </w:r>
      <w:r w:rsidR="00B24E88" w:rsidRPr="00EE0E90">
        <w:rPr>
          <w:rFonts w:ascii="Times New Roman" w:hAnsi="Times New Roman" w:cs="Times New Roman"/>
        </w:rPr>
        <w:t>jste</w:t>
      </w:r>
      <w:r w:rsidRPr="00EE0E90">
        <w:rPr>
          <w:rFonts w:ascii="Times New Roman" w:hAnsi="Times New Roman" w:cs="Times New Roman"/>
        </w:rPr>
        <w:t>. Osobní údaje budou uchovány po dobu stanovenou platným spisovým a skartačním řádem, tj.  10 let, a poté zlikvidovány. Podrobnější informace o zpracování a ochraně osobních údajů, jako jsou zejména práva fyzických osob v souvislosti s ochranou osobních údajů, jsou uveřejněny na webových stránkách správce</w:t>
      </w:r>
      <w:r w:rsidR="00C20428">
        <w:rPr>
          <w:rFonts w:ascii="Times New Roman" w:hAnsi="Times New Roman" w:cs="Times New Roman"/>
        </w:rPr>
        <w:t xml:space="preserve"> (poskytovatele dotace)</w:t>
      </w:r>
      <w:r w:rsidRPr="00EE0E90">
        <w:rPr>
          <w:rFonts w:ascii="Times New Roman" w:hAnsi="Times New Roman" w:cs="Times New Roman"/>
        </w:rPr>
        <w:t>.</w:t>
      </w:r>
    </w:p>
    <w:p w14:paraId="193FC8F2" w14:textId="77777777" w:rsidR="00DB379E" w:rsidRPr="00EE0E90" w:rsidRDefault="00DB379E" w:rsidP="00DB379E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</w:p>
    <w:p w14:paraId="3F0CB485" w14:textId="77777777" w:rsidR="00F81A88" w:rsidRPr="00EE0E90" w:rsidRDefault="00F81A88" w:rsidP="008E6B41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EE0E90">
        <w:rPr>
          <w:rFonts w:ascii="Times New Roman" w:hAnsi="Times New Roman" w:cs="Times New Roman"/>
        </w:rPr>
        <w:t xml:space="preserve">Tato smlouva nabývá platnosti a účinnosti podpisem druhé ze smluvních stran a je vyhotovena ve </w:t>
      </w:r>
      <w:r w:rsidR="000D18B7">
        <w:rPr>
          <w:rFonts w:ascii="Times New Roman" w:hAnsi="Times New Roman" w:cs="Times New Roman"/>
        </w:rPr>
        <w:t>dvou</w:t>
      </w:r>
      <w:r w:rsidRPr="00EE0E90">
        <w:rPr>
          <w:rFonts w:ascii="Times New Roman" w:hAnsi="Times New Roman" w:cs="Times New Roman"/>
        </w:rPr>
        <w:t xml:space="preserve"> stejnopisech, </w:t>
      </w:r>
      <w:r w:rsidR="000D18B7">
        <w:rPr>
          <w:rFonts w:ascii="Times New Roman" w:hAnsi="Times New Roman" w:cs="Times New Roman"/>
        </w:rPr>
        <w:t>každá ze smluvních stran obdrží jeden originál</w:t>
      </w:r>
      <w:r w:rsidRPr="00EE0E90">
        <w:rPr>
          <w:rFonts w:ascii="Times New Roman" w:hAnsi="Times New Roman" w:cs="Times New Roman"/>
        </w:rPr>
        <w:t>.</w:t>
      </w:r>
    </w:p>
    <w:p w14:paraId="65762C87" w14:textId="77777777" w:rsidR="00F81A88" w:rsidRPr="00EE0E90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01972B90" w14:textId="700059A7" w:rsidR="00F81A88" w:rsidRPr="00370609" w:rsidRDefault="00946929" w:rsidP="009427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Příspěvek</w:t>
      </w:r>
      <w:r w:rsidR="00794BD8" w:rsidRPr="00370609">
        <w:rPr>
          <w:rFonts w:ascii="Times New Roman" w:hAnsi="Times New Roman" w:cs="Times New Roman"/>
        </w:rPr>
        <w:t xml:space="preserve"> z rozpočt</w:t>
      </w:r>
      <w:r w:rsidRPr="00370609">
        <w:rPr>
          <w:rFonts w:ascii="Times New Roman" w:hAnsi="Times New Roman" w:cs="Times New Roman"/>
        </w:rPr>
        <w:t>u města Jilemnice je přidělen</w:t>
      </w:r>
      <w:r w:rsidR="00794BD8" w:rsidRPr="00370609">
        <w:rPr>
          <w:rFonts w:ascii="Times New Roman" w:hAnsi="Times New Roman" w:cs="Times New Roman"/>
        </w:rPr>
        <w:t xml:space="preserve"> na základě </w:t>
      </w:r>
      <w:r w:rsidR="000701A5" w:rsidRPr="00370609">
        <w:rPr>
          <w:rFonts w:ascii="Times New Roman" w:hAnsi="Times New Roman" w:cs="Times New Roman"/>
        </w:rPr>
        <w:t xml:space="preserve">schválení </w:t>
      </w:r>
      <w:r w:rsidRPr="00370609">
        <w:rPr>
          <w:rFonts w:ascii="Times New Roman" w:hAnsi="Times New Roman" w:cs="Times New Roman"/>
        </w:rPr>
        <w:t>Zastupitelstva</w:t>
      </w:r>
      <w:r w:rsidR="00626EBB" w:rsidRPr="00370609">
        <w:rPr>
          <w:rFonts w:ascii="Times New Roman" w:hAnsi="Times New Roman" w:cs="Times New Roman"/>
        </w:rPr>
        <w:t xml:space="preserve"> / Rady</w:t>
      </w:r>
      <w:r w:rsidR="0094274F" w:rsidRPr="00370609">
        <w:rPr>
          <w:rFonts w:ascii="Times New Roman" w:hAnsi="Times New Roman" w:cs="Times New Roman"/>
        </w:rPr>
        <w:t xml:space="preserve"> města Jilemnice </w:t>
      </w:r>
      <w:r w:rsidR="000701A5" w:rsidRPr="00370609">
        <w:rPr>
          <w:rFonts w:ascii="Times New Roman" w:hAnsi="Times New Roman" w:cs="Times New Roman"/>
        </w:rPr>
        <w:t>pod usnesením č</w:t>
      </w:r>
      <w:r w:rsidR="00E82F78" w:rsidRPr="00370609">
        <w:rPr>
          <w:rFonts w:ascii="Times New Roman" w:hAnsi="Times New Roman" w:cs="Times New Roman"/>
        </w:rPr>
        <w:t xml:space="preserve">. </w:t>
      </w:r>
      <w:proofErr w:type="spellStart"/>
      <w:r w:rsidRPr="00370609">
        <w:rPr>
          <w:rFonts w:ascii="Times New Roman" w:hAnsi="Times New Roman" w:cs="Times New Roman"/>
        </w:rPr>
        <w:t>xx</w:t>
      </w:r>
      <w:proofErr w:type="spellEnd"/>
      <w:r w:rsidR="00E82F78" w:rsidRPr="00370609">
        <w:rPr>
          <w:rFonts w:ascii="Times New Roman" w:hAnsi="Times New Roman" w:cs="Times New Roman"/>
        </w:rPr>
        <w:t>/</w:t>
      </w:r>
      <w:proofErr w:type="spellStart"/>
      <w:r w:rsidRPr="00370609">
        <w:rPr>
          <w:rFonts w:ascii="Times New Roman" w:hAnsi="Times New Roman" w:cs="Times New Roman"/>
        </w:rPr>
        <w:t>xx</w:t>
      </w:r>
      <w:r w:rsidR="009225DB" w:rsidRPr="00370609">
        <w:rPr>
          <w:rFonts w:ascii="Times New Roman" w:hAnsi="Times New Roman" w:cs="Times New Roman"/>
        </w:rPr>
        <w:t>Z</w:t>
      </w:r>
      <w:r w:rsidR="00E82F78" w:rsidRPr="00370609">
        <w:rPr>
          <w:rFonts w:ascii="Times New Roman" w:hAnsi="Times New Roman" w:cs="Times New Roman"/>
        </w:rPr>
        <w:t>M</w:t>
      </w:r>
      <w:proofErr w:type="spellEnd"/>
      <w:r w:rsidR="00E82F78" w:rsidRPr="00370609">
        <w:rPr>
          <w:rFonts w:ascii="Times New Roman" w:hAnsi="Times New Roman" w:cs="Times New Roman"/>
        </w:rPr>
        <w:t>/</w:t>
      </w:r>
      <w:r w:rsidR="000701A5" w:rsidRPr="00370609">
        <w:rPr>
          <w:rFonts w:ascii="Times New Roman" w:hAnsi="Times New Roman" w:cs="Times New Roman"/>
        </w:rPr>
        <w:t>2</w:t>
      </w:r>
      <w:r w:rsidR="00F04D63" w:rsidRPr="00370609">
        <w:rPr>
          <w:rFonts w:ascii="Times New Roman" w:hAnsi="Times New Roman" w:cs="Times New Roman"/>
        </w:rPr>
        <w:t>4</w:t>
      </w:r>
      <w:r w:rsidR="000701A5" w:rsidRPr="00370609">
        <w:rPr>
          <w:rFonts w:ascii="Times New Roman" w:hAnsi="Times New Roman" w:cs="Times New Roman"/>
        </w:rPr>
        <w:t xml:space="preserve"> ze </w:t>
      </w:r>
      <w:r w:rsidR="0094274F" w:rsidRPr="00370609">
        <w:rPr>
          <w:rFonts w:ascii="Times New Roman" w:hAnsi="Times New Roman" w:cs="Times New Roman"/>
        </w:rPr>
        <w:t xml:space="preserve">dne </w:t>
      </w:r>
      <w:proofErr w:type="spellStart"/>
      <w:r w:rsidR="00C20428" w:rsidRPr="00370609">
        <w:rPr>
          <w:rFonts w:ascii="Times New Roman" w:hAnsi="Times New Roman" w:cs="Times New Roman"/>
          <w:color w:val="FF0000"/>
        </w:rPr>
        <w:t>xxx</w:t>
      </w:r>
      <w:proofErr w:type="spellEnd"/>
      <w:r w:rsidR="000708D0" w:rsidRPr="00370609">
        <w:rPr>
          <w:rFonts w:ascii="Times New Roman" w:hAnsi="Times New Roman" w:cs="Times New Roman"/>
        </w:rPr>
        <w:t xml:space="preserve">. </w:t>
      </w:r>
      <w:proofErr w:type="spellStart"/>
      <w:r w:rsidR="00F04D63" w:rsidRPr="00370609">
        <w:rPr>
          <w:rFonts w:ascii="Times New Roman" w:hAnsi="Times New Roman" w:cs="Times New Roman"/>
        </w:rPr>
        <w:t>xxx</w:t>
      </w:r>
      <w:proofErr w:type="spellEnd"/>
      <w:r w:rsidR="000708D0" w:rsidRPr="00370609">
        <w:rPr>
          <w:rFonts w:ascii="Times New Roman" w:hAnsi="Times New Roman" w:cs="Times New Roman"/>
        </w:rPr>
        <w:t>.</w:t>
      </w:r>
      <w:r w:rsidRPr="00370609">
        <w:rPr>
          <w:rFonts w:ascii="Times New Roman" w:hAnsi="Times New Roman" w:cs="Times New Roman"/>
        </w:rPr>
        <w:t xml:space="preserve"> </w:t>
      </w:r>
      <w:r w:rsidR="0094274F" w:rsidRPr="00370609">
        <w:rPr>
          <w:rFonts w:ascii="Times New Roman" w:hAnsi="Times New Roman" w:cs="Times New Roman"/>
        </w:rPr>
        <w:t>202</w:t>
      </w:r>
      <w:r w:rsidR="00F04D63" w:rsidRPr="00370609">
        <w:rPr>
          <w:rFonts w:ascii="Times New Roman" w:hAnsi="Times New Roman" w:cs="Times New Roman"/>
        </w:rPr>
        <w:t>4</w:t>
      </w:r>
      <w:r w:rsidR="0094274F" w:rsidRPr="00370609">
        <w:rPr>
          <w:rFonts w:ascii="Times New Roman" w:hAnsi="Times New Roman" w:cs="Times New Roman"/>
        </w:rPr>
        <w:t>.</w:t>
      </w:r>
    </w:p>
    <w:p w14:paraId="1F6ED1BC" w14:textId="77777777" w:rsidR="00F81A88" w:rsidRPr="00370609" w:rsidRDefault="00F81A88" w:rsidP="008E6B41">
      <w:pPr>
        <w:spacing w:after="0" w:line="259" w:lineRule="auto"/>
        <w:ind w:left="360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 xml:space="preserve"> </w:t>
      </w:r>
    </w:p>
    <w:p w14:paraId="7970E965" w14:textId="77777777" w:rsidR="00F81A88" w:rsidRPr="00370609" w:rsidRDefault="00F81A88" w:rsidP="008E6B41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7BB6B3B2" w14:textId="77777777" w:rsidR="00F81A88" w:rsidRPr="00370609" w:rsidRDefault="00F81A88" w:rsidP="008E6B41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p w14:paraId="2B18C0C1" w14:textId="318822AE" w:rsidR="00F81A88" w:rsidRPr="00370609" w:rsidRDefault="00F81A88" w:rsidP="008E6B41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V Jilemnici dne ……………..</w:t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  <w:t xml:space="preserve">               </w:t>
      </w:r>
      <w:r w:rsidRPr="00370609">
        <w:rPr>
          <w:rFonts w:ascii="Times New Roman" w:hAnsi="Times New Roman" w:cs="Times New Roman"/>
        </w:rPr>
        <w:tab/>
      </w:r>
      <w:r w:rsidR="00946929" w:rsidRPr="00370609">
        <w:rPr>
          <w:rFonts w:ascii="Times New Roman" w:hAnsi="Times New Roman" w:cs="Times New Roman"/>
        </w:rPr>
        <w:t xml:space="preserve">V </w:t>
      </w:r>
      <w:r w:rsidR="00F04D63" w:rsidRPr="00370609">
        <w:rPr>
          <w:rFonts w:ascii="Times New Roman" w:hAnsi="Times New Roman" w:cs="Times New Roman"/>
        </w:rPr>
        <w:t>Jilemnici</w:t>
      </w:r>
      <w:r w:rsidRPr="00370609">
        <w:rPr>
          <w:rFonts w:ascii="Times New Roman" w:hAnsi="Times New Roman" w:cs="Times New Roman"/>
        </w:rPr>
        <w:t xml:space="preserve"> dne……………….   </w:t>
      </w:r>
    </w:p>
    <w:p w14:paraId="6FA78726" w14:textId="77777777" w:rsidR="00F81A88" w:rsidRPr="00370609" w:rsidRDefault="00F81A88" w:rsidP="008E6B41">
      <w:pPr>
        <w:spacing w:before="240" w:after="160" w:line="259" w:lineRule="auto"/>
        <w:jc w:val="both"/>
        <w:rPr>
          <w:rFonts w:ascii="Times New Roman" w:hAnsi="Times New Roman" w:cs="Times New Roman"/>
        </w:rPr>
      </w:pPr>
    </w:p>
    <w:p w14:paraId="08F8B13F" w14:textId="77777777" w:rsidR="00F81A88" w:rsidRPr="00370609" w:rsidRDefault="00F81A88" w:rsidP="008E6B41">
      <w:pPr>
        <w:spacing w:before="240" w:after="160" w:line="259" w:lineRule="auto"/>
        <w:jc w:val="both"/>
        <w:rPr>
          <w:rFonts w:ascii="Times New Roman" w:hAnsi="Times New Roman" w:cs="Times New Roman"/>
        </w:rPr>
      </w:pPr>
      <w:r w:rsidRPr="00370609">
        <w:rPr>
          <w:rFonts w:ascii="Times New Roman" w:hAnsi="Times New Roman" w:cs="Times New Roman"/>
        </w:rPr>
        <w:t>………………………………….</w:t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</w:r>
      <w:r w:rsidRPr="00370609">
        <w:rPr>
          <w:rFonts w:ascii="Times New Roman" w:hAnsi="Times New Roman" w:cs="Times New Roman"/>
        </w:rPr>
        <w:tab/>
        <w:t>………………………………………</w:t>
      </w:r>
    </w:p>
    <w:p w14:paraId="644C0BB9" w14:textId="055D54F6" w:rsidR="004F554B" w:rsidRPr="00370609" w:rsidRDefault="008A45FA" w:rsidP="004F554B">
      <w:pPr>
        <w:spacing w:after="0" w:line="259" w:lineRule="auto"/>
        <w:jc w:val="both"/>
        <w:rPr>
          <w:rFonts w:ascii="Times New Roman" w:hAnsi="Times New Roman" w:cs="Times New Roman"/>
          <w:iCs/>
        </w:rPr>
      </w:pPr>
      <w:r w:rsidRPr="00370609">
        <w:rPr>
          <w:rFonts w:ascii="Times New Roman" w:hAnsi="Times New Roman" w:cs="Times New Roman"/>
        </w:rPr>
        <w:t>Bc. David Hlaváč</w:t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proofErr w:type="spellStart"/>
      <w:r w:rsidR="00626EBB" w:rsidRPr="00370609">
        <w:rPr>
          <w:rFonts w:ascii="Times New Roman" w:hAnsi="Times New Roman" w:cs="Times New Roman"/>
          <w:i/>
          <w:iCs/>
        </w:rPr>
        <w:t>titl</w:t>
      </w:r>
      <w:proofErr w:type="spellEnd"/>
      <w:r w:rsidR="00626EBB" w:rsidRPr="00370609">
        <w:rPr>
          <w:rFonts w:ascii="Times New Roman" w:hAnsi="Times New Roman" w:cs="Times New Roman"/>
          <w:i/>
          <w:iCs/>
        </w:rPr>
        <w:t>, jméno a příjmení statutárního zástupce příjemce</w:t>
      </w:r>
      <w:r w:rsidR="00626EBB" w:rsidRPr="00370609">
        <w:rPr>
          <w:rFonts w:ascii="Times New Roman" w:hAnsi="Times New Roman" w:cs="Times New Roman"/>
        </w:rPr>
        <w:t xml:space="preserve"> </w:t>
      </w:r>
      <w:r w:rsidR="00F81A88" w:rsidRPr="00370609">
        <w:rPr>
          <w:rFonts w:ascii="Times New Roman" w:hAnsi="Times New Roman" w:cs="Times New Roman"/>
        </w:rPr>
        <w:t>starosta města Jilemnice</w:t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r w:rsidR="00F81A88" w:rsidRPr="00370609">
        <w:rPr>
          <w:rFonts w:ascii="Times New Roman" w:hAnsi="Times New Roman" w:cs="Times New Roman"/>
        </w:rPr>
        <w:tab/>
      </w:r>
      <w:r w:rsidR="00626EBB" w:rsidRPr="00370609">
        <w:rPr>
          <w:rFonts w:ascii="Times New Roman" w:hAnsi="Times New Roman" w:cs="Times New Roman"/>
          <w:i/>
          <w:iCs/>
        </w:rPr>
        <w:t>přesný název funkce statutárního zástupce</w:t>
      </w:r>
      <w:r w:rsidR="00946929" w:rsidRPr="00370609">
        <w:rPr>
          <w:rFonts w:ascii="Times New Roman" w:hAnsi="Times New Roman" w:cs="Times New Roman"/>
          <w:iCs/>
        </w:rPr>
        <w:t xml:space="preserve"> </w:t>
      </w:r>
      <w:bookmarkStart w:id="0" w:name="_GoBack"/>
      <w:bookmarkEnd w:id="0"/>
    </w:p>
    <w:sectPr w:rsidR="004F554B" w:rsidRPr="00370609" w:rsidSect="00785C0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5CE6" w14:textId="77777777" w:rsidR="00DE0FFB" w:rsidRDefault="00DE0FFB">
      <w:pPr>
        <w:spacing w:after="0" w:line="240" w:lineRule="auto"/>
      </w:pPr>
      <w:r>
        <w:separator/>
      </w:r>
    </w:p>
  </w:endnote>
  <w:endnote w:type="continuationSeparator" w:id="0">
    <w:p w14:paraId="236CF234" w14:textId="77777777" w:rsidR="00DE0FFB" w:rsidRDefault="00DE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75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0B2A14" w14:textId="3B730275" w:rsidR="005D5B91" w:rsidRDefault="005D5B91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6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6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A29B7" w14:textId="77777777" w:rsidR="005D5B91" w:rsidRDefault="005D5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CBEA" w14:textId="77777777" w:rsidR="00DE0FFB" w:rsidRDefault="00DE0FFB">
      <w:pPr>
        <w:spacing w:after="0" w:line="240" w:lineRule="auto"/>
      </w:pPr>
      <w:r>
        <w:separator/>
      </w:r>
    </w:p>
  </w:footnote>
  <w:footnote w:type="continuationSeparator" w:id="0">
    <w:p w14:paraId="4BE374FB" w14:textId="77777777" w:rsidR="00DE0FFB" w:rsidRDefault="00DE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926A" w14:textId="7135A4A5" w:rsidR="00F81A88" w:rsidRPr="00A40223" w:rsidRDefault="005D5B91">
    <w:pPr>
      <w:pStyle w:val="Zhlav"/>
      <w:jc w:val="right"/>
      <w:rPr>
        <w:rFonts w:ascii="Times New Roman" w:hAnsi="Times New Roman" w:cs="Times New Roman"/>
        <w:sz w:val="20"/>
      </w:rPr>
    </w:pPr>
    <w:r w:rsidRPr="00A40223">
      <w:rPr>
        <w:rFonts w:ascii="Times New Roman" w:hAnsi="Times New Roman" w:cs="Times New Roman"/>
        <w:sz w:val="20"/>
      </w:rPr>
      <w:t xml:space="preserve">Příloha </w:t>
    </w:r>
    <w:proofErr w:type="gramStart"/>
    <w:r w:rsidRPr="00A40223">
      <w:rPr>
        <w:rFonts w:ascii="Times New Roman" w:hAnsi="Times New Roman" w:cs="Times New Roman"/>
        <w:sz w:val="20"/>
      </w:rPr>
      <w:t xml:space="preserve">č. </w:t>
    </w:r>
    <w:r w:rsidR="00E05D10">
      <w:rPr>
        <w:rFonts w:ascii="Times New Roman" w:hAnsi="Times New Roman" w:cs="Times New Roman"/>
        <w:sz w:val="20"/>
      </w:rPr>
      <w:t>4</w:t>
    </w:r>
    <w:r w:rsidRPr="00A40223">
      <w:rPr>
        <w:rFonts w:ascii="Times New Roman" w:hAnsi="Times New Roman" w:cs="Times New Roman"/>
        <w:sz w:val="20"/>
      </w:rPr>
      <w:t xml:space="preserve"> Grantového</w:t>
    </w:r>
    <w:proofErr w:type="gramEnd"/>
    <w:r w:rsidRPr="00A40223">
      <w:rPr>
        <w:rFonts w:ascii="Times New Roman" w:hAnsi="Times New Roman" w:cs="Times New Roman"/>
        <w:sz w:val="20"/>
      </w:rPr>
      <w:t xml:space="preserve"> programu Sociální služby</w:t>
    </w:r>
    <w:r w:rsidR="00A40F5B">
      <w:rPr>
        <w:rFonts w:ascii="Times New Roman" w:hAnsi="Times New Roman" w:cs="Times New Roman"/>
        <w:sz w:val="20"/>
      </w:rPr>
      <w:t xml:space="preserve"> - PŘÍSPĚVEK</w:t>
    </w:r>
  </w:p>
  <w:p w14:paraId="0B1FA53B" w14:textId="77777777" w:rsidR="00F81A88" w:rsidRDefault="00F81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7EB"/>
    <w:multiLevelType w:val="hybridMultilevel"/>
    <w:tmpl w:val="7320004A"/>
    <w:lvl w:ilvl="0" w:tplc="75DA8B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2AE"/>
    <w:multiLevelType w:val="hybridMultilevel"/>
    <w:tmpl w:val="01823EAC"/>
    <w:lvl w:ilvl="0" w:tplc="C382DF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24A76"/>
    <w:multiLevelType w:val="hybridMultilevel"/>
    <w:tmpl w:val="7F042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037A9"/>
    <w:multiLevelType w:val="hybridMultilevel"/>
    <w:tmpl w:val="2C2AB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1126B"/>
    <w:multiLevelType w:val="hybridMultilevel"/>
    <w:tmpl w:val="1D2A2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7CD"/>
    <w:multiLevelType w:val="hybridMultilevel"/>
    <w:tmpl w:val="4BFEB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5AF8"/>
    <w:multiLevelType w:val="hybridMultilevel"/>
    <w:tmpl w:val="36FE2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41"/>
    <w:rsid w:val="000125A6"/>
    <w:rsid w:val="00016265"/>
    <w:rsid w:val="00021970"/>
    <w:rsid w:val="00022915"/>
    <w:rsid w:val="00054E98"/>
    <w:rsid w:val="000701A5"/>
    <w:rsid w:val="000708D0"/>
    <w:rsid w:val="00081614"/>
    <w:rsid w:val="00085CA5"/>
    <w:rsid w:val="00085EFE"/>
    <w:rsid w:val="00087893"/>
    <w:rsid w:val="000D18B7"/>
    <w:rsid w:val="000D19BA"/>
    <w:rsid w:val="000D7F7C"/>
    <w:rsid w:val="000F0AB5"/>
    <w:rsid w:val="001175DD"/>
    <w:rsid w:val="00122612"/>
    <w:rsid w:val="00144399"/>
    <w:rsid w:val="00145805"/>
    <w:rsid w:val="0015558D"/>
    <w:rsid w:val="00162B29"/>
    <w:rsid w:val="001678BE"/>
    <w:rsid w:val="00174BCE"/>
    <w:rsid w:val="00194A9B"/>
    <w:rsid w:val="001B76F0"/>
    <w:rsid w:val="001C654A"/>
    <w:rsid w:val="001E519A"/>
    <w:rsid w:val="00200A1E"/>
    <w:rsid w:val="00212641"/>
    <w:rsid w:val="00230292"/>
    <w:rsid w:val="00257F39"/>
    <w:rsid w:val="00264776"/>
    <w:rsid w:val="00270F72"/>
    <w:rsid w:val="00281B13"/>
    <w:rsid w:val="002926D9"/>
    <w:rsid w:val="0029493F"/>
    <w:rsid w:val="002B2C0F"/>
    <w:rsid w:val="002B4E91"/>
    <w:rsid w:val="002C5451"/>
    <w:rsid w:val="002D47A8"/>
    <w:rsid w:val="003060B6"/>
    <w:rsid w:val="00313456"/>
    <w:rsid w:val="00331C3A"/>
    <w:rsid w:val="00342495"/>
    <w:rsid w:val="0035737C"/>
    <w:rsid w:val="0036603B"/>
    <w:rsid w:val="003679AA"/>
    <w:rsid w:val="00370609"/>
    <w:rsid w:val="0038556D"/>
    <w:rsid w:val="00395A96"/>
    <w:rsid w:val="00397537"/>
    <w:rsid w:val="003B1AB5"/>
    <w:rsid w:val="003B6CA2"/>
    <w:rsid w:val="003D2615"/>
    <w:rsid w:val="003D5150"/>
    <w:rsid w:val="003E56C2"/>
    <w:rsid w:val="003F2BE3"/>
    <w:rsid w:val="003F356B"/>
    <w:rsid w:val="003F5382"/>
    <w:rsid w:val="00406CCC"/>
    <w:rsid w:val="00440134"/>
    <w:rsid w:val="00475B15"/>
    <w:rsid w:val="00486AC5"/>
    <w:rsid w:val="0049267D"/>
    <w:rsid w:val="004A3ECB"/>
    <w:rsid w:val="004E3175"/>
    <w:rsid w:val="004F554B"/>
    <w:rsid w:val="00500054"/>
    <w:rsid w:val="005037C7"/>
    <w:rsid w:val="005205A9"/>
    <w:rsid w:val="0052208B"/>
    <w:rsid w:val="00536A12"/>
    <w:rsid w:val="00590713"/>
    <w:rsid w:val="00593CE9"/>
    <w:rsid w:val="0059447F"/>
    <w:rsid w:val="005C10B9"/>
    <w:rsid w:val="005D5B91"/>
    <w:rsid w:val="006030E0"/>
    <w:rsid w:val="00606DA3"/>
    <w:rsid w:val="006130EB"/>
    <w:rsid w:val="00626EBB"/>
    <w:rsid w:val="006462A8"/>
    <w:rsid w:val="006856FE"/>
    <w:rsid w:val="006A68A4"/>
    <w:rsid w:val="006C493C"/>
    <w:rsid w:val="006D23CA"/>
    <w:rsid w:val="006D686C"/>
    <w:rsid w:val="006D6B43"/>
    <w:rsid w:val="00721B3C"/>
    <w:rsid w:val="007265A1"/>
    <w:rsid w:val="00746E5D"/>
    <w:rsid w:val="0075663B"/>
    <w:rsid w:val="00785C03"/>
    <w:rsid w:val="0078637B"/>
    <w:rsid w:val="00794BD8"/>
    <w:rsid w:val="007A4357"/>
    <w:rsid w:val="007A4E46"/>
    <w:rsid w:val="007E1588"/>
    <w:rsid w:val="0082786D"/>
    <w:rsid w:val="00834CF3"/>
    <w:rsid w:val="008609F9"/>
    <w:rsid w:val="00874A60"/>
    <w:rsid w:val="00890F77"/>
    <w:rsid w:val="00896C37"/>
    <w:rsid w:val="008A0D6E"/>
    <w:rsid w:val="008A45FA"/>
    <w:rsid w:val="008A68F6"/>
    <w:rsid w:val="008D21BB"/>
    <w:rsid w:val="008E6B41"/>
    <w:rsid w:val="009225DB"/>
    <w:rsid w:val="0094274F"/>
    <w:rsid w:val="00946929"/>
    <w:rsid w:val="00953D2A"/>
    <w:rsid w:val="00960197"/>
    <w:rsid w:val="009A25EA"/>
    <w:rsid w:val="009A57C8"/>
    <w:rsid w:val="009F1A05"/>
    <w:rsid w:val="009F5A05"/>
    <w:rsid w:val="00A34CC5"/>
    <w:rsid w:val="00A40223"/>
    <w:rsid w:val="00A40653"/>
    <w:rsid w:val="00A40F5B"/>
    <w:rsid w:val="00A616AB"/>
    <w:rsid w:val="00A813B4"/>
    <w:rsid w:val="00A825DC"/>
    <w:rsid w:val="00A83351"/>
    <w:rsid w:val="00B204FA"/>
    <w:rsid w:val="00B24E88"/>
    <w:rsid w:val="00B62A00"/>
    <w:rsid w:val="00B7336A"/>
    <w:rsid w:val="00B820EE"/>
    <w:rsid w:val="00B91DAD"/>
    <w:rsid w:val="00B94ECF"/>
    <w:rsid w:val="00BD4DC2"/>
    <w:rsid w:val="00BE60DA"/>
    <w:rsid w:val="00C04C79"/>
    <w:rsid w:val="00C07231"/>
    <w:rsid w:val="00C12A36"/>
    <w:rsid w:val="00C20428"/>
    <w:rsid w:val="00C20753"/>
    <w:rsid w:val="00C41723"/>
    <w:rsid w:val="00C419B1"/>
    <w:rsid w:val="00C451BC"/>
    <w:rsid w:val="00C53187"/>
    <w:rsid w:val="00C5405A"/>
    <w:rsid w:val="00C81B7D"/>
    <w:rsid w:val="00C92982"/>
    <w:rsid w:val="00C937EC"/>
    <w:rsid w:val="00CA1E18"/>
    <w:rsid w:val="00CA2D51"/>
    <w:rsid w:val="00CB3D62"/>
    <w:rsid w:val="00CF514B"/>
    <w:rsid w:val="00D271A5"/>
    <w:rsid w:val="00D517DC"/>
    <w:rsid w:val="00D54CDC"/>
    <w:rsid w:val="00D62418"/>
    <w:rsid w:val="00D65109"/>
    <w:rsid w:val="00D66D03"/>
    <w:rsid w:val="00D85E49"/>
    <w:rsid w:val="00D950BA"/>
    <w:rsid w:val="00DB2EEA"/>
    <w:rsid w:val="00DB379E"/>
    <w:rsid w:val="00DE0FFB"/>
    <w:rsid w:val="00DE5F41"/>
    <w:rsid w:val="00E05D10"/>
    <w:rsid w:val="00E20F48"/>
    <w:rsid w:val="00E27143"/>
    <w:rsid w:val="00E508A6"/>
    <w:rsid w:val="00E63B8C"/>
    <w:rsid w:val="00E82F78"/>
    <w:rsid w:val="00EA10C7"/>
    <w:rsid w:val="00EA1133"/>
    <w:rsid w:val="00EB1B10"/>
    <w:rsid w:val="00EE0E90"/>
    <w:rsid w:val="00EE579B"/>
    <w:rsid w:val="00EF1643"/>
    <w:rsid w:val="00EF720D"/>
    <w:rsid w:val="00F04D63"/>
    <w:rsid w:val="00F20834"/>
    <w:rsid w:val="00F23B18"/>
    <w:rsid w:val="00F306E8"/>
    <w:rsid w:val="00F379BF"/>
    <w:rsid w:val="00F477B4"/>
    <w:rsid w:val="00F503C2"/>
    <w:rsid w:val="00F81A88"/>
    <w:rsid w:val="00F87D27"/>
    <w:rsid w:val="00F90476"/>
    <w:rsid w:val="00FA3152"/>
    <w:rsid w:val="00FF1801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059B1"/>
  <w15:docId w15:val="{CE2F3B10-824F-4B4A-A19D-FA6806BD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A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E6B41"/>
    <w:rPr>
      <w:rFonts w:ascii="Calibri" w:hAnsi="Calibri" w:cs="Calibri"/>
    </w:rPr>
  </w:style>
  <w:style w:type="paragraph" w:styleId="Odstavecseseznamem">
    <w:name w:val="List Paragraph"/>
    <w:basedOn w:val="Normln"/>
    <w:uiPriority w:val="99"/>
    <w:qFormat/>
    <w:rsid w:val="00CF514B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594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6D"/>
    <w:rPr>
      <w:rFonts w:ascii="Segoe UI" w:hAnsi="Segoe UI" w:cs="Segoe UI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B91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6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B43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B43"/>
    <w:rPr>
      <w:rFonts w:cs="Calibri"/>
      <w:b/>
      <w:bCs/>
      <w:lang w:eastAsia="en-US"/>
    </w:rPr>
  </w:style>
  <w:style w:type="table" w:styleId="Mkatabulky">
    <w:name w:val="Table Grid"/>
    <w:basedOn w:val="Normlntabulka"/>
    <w:locked/>
    <w:rsid w:val="002D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13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ilemnice.cz/urad/odbory-uradu/odbor-socialnich-veci/socialni-sluz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5802-2075-4D82-94EF-7A7002FC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o poskytnutí dotace z rozpočtu města Jilemnice</vt:lpstr>
    </vt:vector>
  </TitlesOfParts>
  <Company>Město Jilemnice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o poskytnutí dotace z rozpočtu města Jilemnice</dc:title>
  <dc:subject/>
  <dc:creator>Jandurová Kateřina, Mgr.</dc:creator>
  <cp:keywords/>
  <dc:description/>
  <cp:lastModifiedBy>Jandurová Kateřina, Mgr.</cp:lastModifiedBy>
  <cp:revision>4</cp:revision>
  <cp:lastPrinted>2023-01-12T13:10:00Z</cp:lastPrinted>
  <dcterms:created xsi:type="dcterms:W3CDTF">2024-02-05T13:17:00Z</dcterms:created>
  <dcterms:modified xsi:type="dcterms:W3CDTF">2024-02-05T13:32:00Z</dcterms:modified>
</cp:coreProperties>
</file>