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drawings/drawing1.xml" ContentType="application/vnd.openxmlformats-officedocument.drawingml.chartshapes+xml"/>
  <Override PartName="/word/charts/chart3.xml" ContentType="application/vnd.openxmlformats-officedocument.drawingml.chart+xml"/>
  <Override PartName="/word/charts/chart4.xml" ContentType="application/vnd.openxmlformats-officedocument.drawingml.chart+xml"/>
  <Override PartName="/word/charts/chart5.xml" ContentType="application/vnd.openxmlformats-officedocument.drawingml.chart+xml"/>
  <Override PartName="/word/charts/chart6.xml" ContentType="application/vnd.openxmlformats-officedocument.drawingml.chart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79CE" w:rsidRPr="00806D9E" w:rsidRDefault="0038575D" w:rsidP="00806D9E">
      <w:pPr>
        <w:pStyle w:val="Zkladntextodsazen"/>
        <w:ind w:firstLine="0"/>
        <w:jc w:val="center"/>
        <w:rPr>
          <w:b/>
          <w:i w:val="0"/>
          <w:sz w:val="28"/>
          <w:szCs w:val="28"/>
        </w:rPr>
      </w:pPr>
      <w:r>
        <w:rPr>
          <w:b/>
          <w:i w:val="0"/>
          <w:sz w:val="28"/>
          <w:szCs w:val="28"/>
        </w:rPr>
        <w:t xml:space="preserve">Komentář </w:t>
      </w:r>
      <w:r w:rsidR="001C79CE" w:rsidRPr="00806D9E">
        <w:rPr>
          <w:b/>
          <w:i w:val="0"/>
          <w:sz w:val="28"/>
          <w:szCs w:val="28"/>
        </w:rPr>
        <w:t xml:space="preserve">rozpočtu </w:t>
      </w:r>
      <w:r w:rsidR="00E94D6D">
        <w:rPr>
          <w:b/>
          <w:i w:val="0"/>
          <w:sz w:val="28"/>
          <w:szCs w:val="28"/>
        </w:rPr>
        <w:t xml:space="preserve">města Jilemnice na rok </w:t>
      </w:r>
      <w:r w:rsidR="00FE390E">
        <w:rPr>
          <w:b/>
          <w:i w:val="0"/>
          <w:sz w:val="28"/>
          <w:szCs w:val="28"/>
        </w:rPr>
        <w:t>201</w:t>
      </w:r>
      <w:r w:rsidR="00B341C8">
        <w:rPr>
          <w:b/>
          <w:i w:val="0"/>
          <w:sz w:val="28"/>
          <w:szCs w:val="28"/>
        </w:rPr>
        <w:t>7</w:t>
      </w:r>
    </w:p>
    <w:p w:rsidR="001C79CE" w:rsidRPr="001C79CE" w:rsidRDefault="001C79CE" w:rsidP="001C79CE">
      <w:pPr>
        <w:pStyle w:val="Zkladntextodsazen"/>
        <w:ind w:firstLine="0"/>
        <w:jc w:val="both"/>
        <w:rPr>
          <w:b/>
          <w:i w:val="0"/>
          <w:sz w:val="24"/>
          <w:szCs w:val="24"/>
        </w:rPr>
      </w:pPr>
    </w:p>
    <w:p w:rsidR="00B341C8" w:rsidRPr="001B65CD" w:rsidRDefault="00B341C8" w:rsidP="00B341C8">
      <w:pPr>
        <w:pStyle w:val="Zkladntextodsazen"/>
        <w:ind w:left="170" w:firstLine="312"/>
        <w:jc w:val="both"/>
        <w:rPr>
          <w:sz w:val="22"/>
          <w:szCs w:val="22"/>
        </w:rPr>
      </w:pPr>
      <w:r w:rsidRPr="001B65CD">
        <w:rPr>
          <w:sz w:val="22"/>
          <w:szCs w:val="22"/>
        </w:rPr>
        <w:t xml:space="preserve">Návrh rozpočtu na rok 2017 vychází z výsledků hospodaření města Jilemnice z minulého roku 2016 a ze schváleného státního rozpočtu na rok 2017, podle něhož jsou rozpočtovány daňové příjmy a dotace na výkon státní správy. Podrobný rozbor hospodaření města za rok 2016 spolu s výsledky hospodaření </w:t>
      </w:r>
      <w:proofErr w:type="gramStart"/>
      <w:r w:rsidRPr="001B65CD">
        <w:rPr>
          <w:sz w:val="22"/>
          <w:szCs w:val="22"/>
        </w:rPr>
        <w:t>PO  bude</w:t>
      </w:r>
      <w:proofErr w:type="gramEnd"/>
      <w:r w:rsidRPr="001B65CD">
        <w:rPr>
          <w:sz w:val="22"/>
          <w:szCs w:val="22"/>
        </w:rPr>
        <w:t xml:space="preserve"> součástí schvalování závěrečného účtu roku 2016.  Za rok 2016 byl vyhodnocen přebytek hospodaření ve výši 72.079 tis. Kč, který je celý zapojen do rozpočtu roku 2017. </w:t>
      </w:r>
    </w:p>
    <w:p w:rsidR="00B341C8" w:rsidRPr="001B65CD" w:rsidRDefault="00B341C8" w:rsidP="001B65CD">
      <w:pPr>
        <w:pStyle w:val="Zkladntextodsazen"/>
        <w:ind w:left="170" w:firstLine="312"/>
        <w:jc w:val="both"/>
        <w:rPr>
          <w:sz w:val="22"/>
          <w:szCs w:val="22"/>
        </w:rPr>
      </w:pPr>
      <w:r w:rsidRPr="00E94D6D">
        <w:rPr>
          <w:b/>
          <w:sz w:val="22"/>
          <w:szCs w:val="22"/>
        </w:rPr>
        <w:t>K rozpočtu běžných příjmů 2017:</w:t>
      </w:r>
      <w:r w:rsidRPr="001B65CD">
        <w:rPr>
          <w:sz w:val="22"/>
          <w:szCs w:val="22"/>
        </w:rPr>
        <w:t xml:space="preserve"> Příjem ze sdílených daní, který je počítán podle počtu obyvatel s trvalým pobytem v Jilemnici (5515 občanů) a daně z nemovitých věcí je plánován ve výši 64.000 tis. Kč, což je o 6,7% více, než byl rozpočet na rok 2016. Správní poplatky jsou rozpočtovány v částce 5.055 tis. Kč (95% rozpočtu 2016), místní poplatky v  částce 3.379 tis. Kč (99% rozpočtu 2016), odvod z hracích přístrojů je počítán v částce 4.500 tis. Kč, stejně jako v roce 2016.  Ostatní běžné příjmy jsou rozpočtovány dle uzavřených smluv, či skutečnosti minulého roku, celkem v částce 25.389 tis. Kč (98% rozpočtu 2016). </w:t>
      </w:r>
    </w:p>
    <w:p w:rsidR="00B341C8" w:rsidRPr="001B65CD" w:rsidRDefault="00B341C8" w:rsidP="001B65CD">
      <w:pPr>
        <w:pStyle w:val="Zkladntextodsazen"/>
        <w:ind w:left="170" w:firstLine="312"/>
        <w:jc w:val="both"/>
        <w:rPr>
          <w:sz w:val="22"/>
          <w:szCs w:val="22"/>
        </w:rPr>
      </w:pPr>
      <w:r w:rsidRPr="00E94D6D">
        <w:rPr>
          <w:b/>
          <w:sz w:val="22"/>
          <w:szCs w:val="22"/>
        </w:rPr>
        <w:t>K rozpočtu kapitálových příjmů 2017:</w:t>
      </w:r>
      <w:r w:rsidRPr="001B65CD">
        <w:rPr>
          <w:sz w:val="22"/>
          <w:szCs w:val="22"/>
        </w:rPr>
        <w:t xml:space="preserve"> Kapitálové příjmy jsou rozpočtovány pouze v částce 465 tis. Kč (9% rozpočtu 2016), které tvoří převážně splátky budoucích kupních cen bytů u akce „32bj. Roztocká“.  Vzhledem k tomu, že ke dni uzávěrky projednávání rozpočtu není požadavek občanů k dalšímu odkoupení bytů v čp. 1207-13, nebyl příjem z privatizace rozpočtován. </w:t>
      </w:r>
    </w:p>
    <w:p w:rsidR="00B341C8" w:rsidRPr="001B65CD" w:rsidRDefault="00B341C8" w:rsidP="001B65CD">
      <w:pPr>
        <w:pStyle w:val="Zkladntextodsazen"/>
        <w:ind w:left="170" w:firstLine="312"/>
        <w:jc w:val="both"/>
        <w:rPr>
          <w:sz w:val="22"/>
          <w:szCs w:val="22"/>
        </w:rPr>
      </w:pPr>
      <w:r w:rsidRPr="00E94D6D">
        <w:rPr>
          <w:b/>
          <w:sz w:val="22"/>
          <w:szCs w:val="22"/>
        </w:rPr>
        <w:t>K rozpočtu dotací 2017:</w:t>
      </w:r>
      <w:r w:rsidRPr="001B65CD">
        <w:rPr>
          <w:sz w:val="22"/>
          <w:szCs w:val="22"/>
        </w:rPr>
        <w:t xml:space="preserve">  Běžné rozpočtované dotace jsou v částce 25.091 tis. Kč (113% rozpočtu </w:t>
      </w:r>
      <w:proofErr w:type="gramStart"/>
      <w:r w:rsidRPr="001B65CD">
        <w:rPr>
          <w:sz w:val="22"/>
          <w:szCs w:val="22"/>
        </w:rPr>
        <w:t>r.2016</w:t>
      </w:r>
      <w:proofErr w:type="gramEnd"/>
      <w:r w:rsidRPr="001B65CD">
        <w:rPr>
          <w:sz w:val="22"/>
          <w:szCs w:val="22"/>
        </w:rPr>
        <w:t>), z toho dotace na výkon státní správy činí 20.227 tis. Kč, včetně účelové dotace na sociálně právní ochranu dětí a sociální práci pro sociální odbor. Z dotací na projekty jsou nově rozpočtovány dva projekty a to „Rozvoj MA 21 v Jilemnici“(1.498 tis. Kč) a projekt „Podpora sociální práce v Jilemnici“(1.326 tis. Kč). Dále předpokládáme doplacení projektu „Revitalizace parku v </w:t>
      </w:r>
      <w:proofErr w:type="spellStart"/>
      <w:r w:rsidRPr="001B65CD">
        <w:rPr>
          <w:sz w:val="22"/>
          <w:szCs w:val="22"/>
        </w:rPr>
        <w:t>Dolení</w:t>
      </w:r>
      <w:proofErr w:type="spellEnd"/>
      <w:r w:rsidRPr="001B65CD">
        <w:rPr>
          <w:sz w:val="22"/>
          <w:szCs w:val="22"/>
        </w:rPr>
        <w:t xml:space="preserve"> ul.“ ve výši 154 tis. Kč. Z kapitálových dotací je rozpočtován doplatek dotace na projekt „Hraběnka“ od Libereckého kraje v částce 10.000 tis. Kč a dotace na pořízení hasičské cisterny od Ministerstva vnitra ČR ve výši 2.500 tis. Kč a od Libereckého kraje ve výši 1.000 tis. Kč.</w:t>
      </w:r>
    </w:p>
    <w:p w:rsidR="00B341C8" w:rsidRPr="001B65CD" w:rsidRDefault="00B341C8" w:rsidP="001B65CD">
      <w:pPr>
        <w:pStyle w:val="Zkladntextodsazen"/>
        <w:ind w:left="170" w:firstLine="312"/>
        <w:jc w:val="both"/>
        <w:rPr>
          <w:sz w:val="22"/>
          <w:szCs w:val="22"/>
        </w:rPr>
      </w:pPr>
      <w:r w:rsidRPr="00E94D6D">
        <w:rPr>
          <w:b/>
          <w:sz w:val="22"/>
          <w:szCs w:val="22"/>
        </w:rPr>
        <w:t xml:space="preserve">  K rozpočtu běžných výdajů 2017:</w:t>
      </w:r>
      <w:r w:rsidRPr="001B65CD">
        <w:rPr>
          <w:sz w:val="22"/>
          <w:szCs w:val="22"/>
        </w:rPr>
        <w:t xml:space="preserve"> Čerpání běžných výdajů je navrženo v souhrnné výši 125.246 tis. Kč (107% rozpočtu 2016). Kritériem k projednávání jednotlivých výdajů pro rok 2017 bylo doporučení finančního výboru města a to: mzdové výdaje ve výši 105% rozpočtu 2016, (v oblasti zdravotnictví 110%), u energií promítnutí snížení (u elektřiny, tepla) či mírný nárůst (u vody) jednotkových cen, ostatní běžné výdaje ve výši 100% rozpočtu 2016.  Součástí běžných výdajů budou i velké opravy a to opravy budov škol, týkající se ZŠ </w:t>
      </w:r>
      <w:proofErr w:type="spellStart"/>
      <w:r w:rsidRPr="001B65CD">
        <w:rPr>
          <w:sz w:val="22"/>
          <w:szCs w:val="22"/>
        </w:rPr>
        <w:t>Harracha</w:t>
      </w:r>
      <w:proofErr w:type="spellEnd"/>
      <w:r w:rsidRPr="001B65CD">
        <w:rPr>
          <w:sz w:val="22"/>
          <w:szCs w:val="22"/>
        </w:rPr>
        <w:t>, ZŠ Komenského a rekonstrukce čp. 85 v plánované částce 6.200 tis. Kč, opravy bytového fondu (4.848 tis. Kč) a např. obnova zahradního domku v parku (750 tis. Kč). Ve výdajích je počítáno s neinvestiční rozpočtovou rezervou ve výši 599 tis. Kč.</w:t>
      </w:r>
    </w:p>
    <w:p w:rsidR="00B341C8" w:rsidRPr="001B65CD" w:rsidRDefault="00B341C8" w:rsidP="001B65CD">
      <w:pPr>
        <w:pStyle w:val="Zkladntextodsazen"/>
        <w:ind w:left="170" w:firstLine="312"/>
        <w:jc w:val="both"/>
        <w:rPr>
          <w:sz w:val="22"/>
          <w:szCs w:val="22"/>
        </w:rPr>
      </w:pPr>
      <w:r w:rsidRPr="00E94D6D">
        <w:rPr>
          <w:b/>
          <w:sz w:val="22"/>
          <w:szCs w:val="22"/>
        </w:rPr>
        <w:t>K rozpočtu kapitálových výdajů 2017:</w:t>
      </w:r>
      <w:r w:rsidRPr="001B65CD">
        <w:rPr>
          <w:sz w:val="22"/>
          <w:szCs w:val="22"/>
        </w:rPr>
        <w:t xml:space="preserve">  Kapitálové výdaje jsou navrženy v částce 91.312 tis. Kč. Největší plánovaná akce na rok 2017 je výstavba a dokončení volnočasového areálu „Hraběnka“. Financování vychází z </w:t>
      </w:r>
      <w:proofErr w:type="spellStart"/>
      <w:r w:rsidRPr="001B65CD">
        <w:rPr>
          <w:sz w:val="22"/>
          <w:szCs w:val="22"/>
        </w:rPr>
        <w:t>usn</w:t>
      </w:r>
      <w:proofErr w:type="spellEnd"/>
      <w:r w:rsidRPr="001B65CD">
        <w:rPr>
          <w:sz w:val="22"/>
          <w:szCs w:val="22"/>
        </w:rPr>
        <w:t xml:space="preserve">. ZM č. 87/16, kterým byl schválen rozsah akce na 72.741 tis. Kč. Rozpočet na rok 2017 počítá zatím s částkou 49.016 tis. Kč a v případě kladného vyřízení žádosti města o dotaci z MŠMT, bude výdajová část o přidělenou částku navýšena.  Pro výstavbu areálu koupaliště je počítáno zatím s částkou 10.200 tis. Kč, dále je rozpočtován nákup hasičské cisterny (6.000 tis. Kč). Z ostatních investičních akcí uvádíme: Chodník Čsl. Legií (vlastní podíl 4.835 tis. Kč), rekonstrukce Žižkovy ul. – investiční dotaci VHS Turnov na kanalizaci a vodovod ve výši 3.000 tis. </w:t>
      </w:r>
      <w:proofErr w:type="gramStart"/>
      <w:r w:rsidRPr="001B65CD">
        <w:rPr>
          <w:sz w:val="22"/>
          <w:szCs w:val="22"/>
        </w:rPr>
        <w:t>Kč,  dále</w:t>
      </w:r>
      <w:proofErr w:type="gramEnd"/>
      <w:r w:rsidRPr="001B65CD">
        <w:rPr>
          <w:sz w:val="22"/>
          <w:szCs w:val="22"/>
        </w:rPr>
        <w:t xml:space="preserve"> zahájíme projekt IROP „Rekonstrukce čp.64- rozvoj sociálních služeb“ v částce 3.800 tis. Kč a parkoviště před DPS (1.900 tis. Kč).</w:t>
      </w:r>
    </w:p>
    <w:p w:rsidR="00B341C8" w:rsidRPr="001B65CD" w:rsidRDefault="00B341C8" w:rsidP="001B65CD">
      <w:pPr>
        <w:pStyle w:val="Zkladntextodsazen"/>
        <w:ind w:left="170" w:firstLine="312"/>
        <w:jc w:val="both"/>
        <w:rPr>
          <w:sz w:val="22"/>
          <w:szCs w:val="22"/>
        </w:rPr>
      </w:pPr>
      <w:r w:rsidRPr="001B65CD">
        <w:rPr>
          <w:sz w:val="22"/>
          <w:szCs w:val="22"/>
        </w:rPr>
        <w:t>Další investice počítají s přípravou projektové dokumentace akcí, které se budou realizovat v příštích letech (příprava území k bytové výstavbě, cyklostezka, apod.). Investiční rozpočtová rezerva je ve výši 3.900 tis. Kč.</w:t>
      </w:r>
    </w:p>
    <w:p w:rsidR="00B341C8" w:rsidRPr="001B65CD" w:rsidRDefault="00B341C8" w:rsidP="00B341C8">
      <w:pPr>
        <w:ind w:left="180" w:firstLine="301"/>
        <w:jc w:val="both"/>
        <w:rPr>
          <w:i/>
          <w:sz w:val="22"/>
          <w:szCs w:val="22"/>
        </w:rPr>
      </w:pPr>
      <w:r w:rsidRPr="001B65CD">
        <w:rPr>
          <w:i/>
          <w:sz w:val="22"/>
          <w:szCs w:val="22"/>
        </w:rPr>
        <w:t xml:space="preserve"> </w:t>
      </w:r>
      <w:r w:rsidRPr="001B65CD">
        <w:rPr>
          <w:b/>
          <w:i/>
          <w:sz w:val="22"/>
          <w:szCs w:val="22"/>
        </w:rPr>
        <w:t xml:space="preserve">Financování: </w:t>
      </w:r>
      <w:r w:rsidRPr="001B65CD">
        <w:rPr>
          <w:i/>
          <w:sz w:val="22"/>
          <w:szCs w:val="22"/>
        </w:rPr>
        <w:t>Do financování je zapojen celý přebytek hospodaření z roku 2016 ve výši 72.079 tis. Kč. Není rozpočtována žádná splátka  úvěru, neboť město Jilemnice nemá k </w:t>
      </w:r>
      <w:proofErr w:type="gramStart"/>
      <w:r w:rsidRPr="001B65CD">
        <w:rPr>
          <w:i/>
          <w:sz w:val="22"/>
          <w:szCs w:val="22"/>
        </w:rPr>
        <w:t>1.1.2017</w:t>
      </w:r>
      <w:proofErr w:type="gramEnd"/>
      <w:r w:rsidRPr="001B65CD">
        <w:rPr>
          <w:i/>
          <w:sz w:val="22"/>
          <w:szCs w:val="22"/>
        </w:rPr>
        <w:t xml:space="preserve"> žádný nesplacený úvěr. Pokud bude v roce 2017 realizována celá akce Chodník Čsl. Legií, předpokládáme její předfinancování krátkodobým překlenovacím úvěrem, jehož výše bude schvalovaná v průběhu roku 2017. </w:t>
      </w:r>
    </w:p>
    <w:p w:rsidR="00B341C8" w:rsidRPr="001B65CD" w:rsidRDefault="00B341C8" w:rsidP="00B341C8">
      <w:pPr>
        <w:ind w:left="170" w:firstLine="311"/>
        <w:jc w:val="both"/>
        <w:rPr>
          <w:i/>
          <w:sz w:val="22"/>
          <w:szCs w:val="22"/>
        </w:rPr>
      </w:pPr>
      <w:r w:rsidRPr="001B65CD">
        <w:rPr>
          <w:b/>
          <w:i/>
          <w:sz w:val="22"/>
          <w:szCs w:val="22"/>
        </w:rPr>
        <w:t xml:space="preserve"> Závěr: </w:t>
      </w:r>
      <w:r w:rsidRPr="001B65CD">
        <w:rPr>
          <w:i/>
          <w:sz w:val="22"/>
          <w:szCs w:val="22"/>
        </w:rPr>
        <w:t>Celkové příjmy na rok 2017 jsou navrhovány v částce 144.479 tis. Kč, celkové výdaje ve výši 216.558 tis. Kč. Rozdíl mezi příjmy a výdaji ve výši 72.079 tis. Kč je vyrovnán financováním</w:t>
      </w:r>
      <w:r w:rsidRPr="001B65CD">
        <w:rPr>
          <w:b/>
          <w:i/>
          <w:sz w:val="22"/>
          <w:szCs w:val="22"/>
        </w:rPr>
        <w:t xml:space="preserve">, </w:t>
      </w:r>
      <w:r w:rsidRPr="001B65CD">
        <w:rPr>
          <w:i/>
          <w:sz w:val="22"/>
          <w:szCs w:val="22"/>
        </w:rPr>
        <w:t>které tvoří přebytek hospodaření z roku 2016 v téže výši 72.079 tis. Kč.</w:t>
      </w:r>
    </w:p>
    <w:p w:rsidR="00B341C8" w:rsidRDefault="00B341C8" w:rsidP="00B341C8">
      <w:pPr>
        <w:ind w:left="180"/>
        <w:jc w:val="both"/>
        <w:rPr>
          <w:i/>
          <w:sz w:val="22"/>
          <w:szCs w:val="22"/>
        </w:rPr>
      </w:pPr>
      <w:r w:rsidRPr="001B65CD">
        <w:rPr>
          <w:i/>
          <w:sz w:val="22"/>
          <w:szCs w:val="22"/>
        </w:rPr>
        <w:t xml:space="preserve">Předkládaný návrh rozpočtu na rok 2017 projednal a doporučil ke schválení finanční výbor dne </w:t>
      </w:r>
      <w:proofErr w:type="gramStart"/>
      <w:r w:rsidRPr="001B65CD">
        <w:rPr>
          <w:i/>
          <w:sz w:val="22"/>
          <w:szCs w:val="22"/>
        </w:rPr>
        <w:t>30.1.2017</w:t>
      </w:r>
      <w:proofErr w:type="gramEnd"/>
      <w:r w:rsidRPr="001B65CD">
        <w:rPr>
          <w:i/>
          <w:sz w:val="22"/>
          <w:szCs w:val="22"/>
        </w:rPr>
        <w:t xml:space="preserve">. Rada města projednala návrh rozpočtu dne </w:t>
      </w:r>
      <w:proofErr w:type="gramStart"/>
      <w:r w:rsidRPr="001B65CD">
        <w:rPr>
          <w:i/>
          <w:sz w:val="22"/>
          <w:szCs w:val="22"/>
        </w:rPr>
        <w:t>8.2.2017</w:t>
      </w:r>
      <w:proofErr w:type="gramEnd"/>
      <w:r w:rsidRPr="001B65CD">
        <w:rPr>
          <w:i/>
          <w:sz w:val="22"/>
          <w:szCs w:val="22"/>
        </w:rPr>
        <w:t xml:space="preserve">. </w:t>
      </w:r>
      <w:r w:rsidR="00E94D6D">
        <w:rPr>
          <w:i/>
          <w:sz w:val="22"/>
          <w:szCs w:val="22"/>
        </w:rPr>
        <w:t xml:space="preserve">Rozpočet na rok 2017 byl schválen v ZM dne </w:t>
      </w:r>
      <w:proofErr w:type="gramStart"/>
      <w:r w:rsidR="00E94D6D">
        <w:rPr>
          <w:i/>
          <w:sz w:val="22"/>
          <w:szCs w:val="22"/>
        </w:rPr>
        <w:t>22.2.2017</w:t>
      </w:r>
      <w:proofErr w:type="gramEnd"/>
      <w:r w:rsidR="00E94D6D">
        <w:rPr>
          <w:i/>
          <w:sz w:val="22"/>
          <w:szCs w:val="22"/>
        </w:rPr>
        <w:t xml:space="preserve"> pod č. </w:t>
      </w:r>
      <w:proofErr w:type="spellStart"/>
      <w:r w:rsidR="00E94D6D">
        <w:rPr>
          <w:i/>
          <w:sz w:val="22"/>
          <w:szCs w:val="22"/>
        </w:rPr>
        <w:t>usn</w:t>
      </w:r>
      <w:proofErr w:type="spellEnd"/>
      <w:r w:rsidR="00E94D6D">
        <w:rPr>
          <w:i/>
          <w:sz w:val="22"/>
          <w:szCs w:val="22"/>
        </w:rPr>
        <w:t>. č.10/17, které nenavrhlo žádné změny oproti předloženému návrhu.</w:t>
      </w:r>
      <w:bookmarkStart w:id="0" w:name="_GoBack"/>
      <w:bookmarkEnd w:id="0"/>
    </w:p>
    <w:p w:rsidR="00E94D6D" w:rsidRDefault="00E94D6D" w:rsidP="00B341C8">
      <w:pPr>
        <w:ind w:left="180"/>
        <w:jc w:val="both"/>
        <w:rPr>
          <w:i/>
          <w:sz w:val="22"/>
          <w:szCs w:val="22"/>
        </w:rPr>
      </w:pPr>
    </w:p>
    <w:p w:rsidR="00E94D6D" w:rsidRDefault="00E94D6D" w:rsidP="00B341C8">
      <w:pPr>
        <w:ind w:left="180"/>
        <w:jc w:val="both"/>
        <w:rPr>
          <w:i/>
          <w:sz w:val="22"/>
          <w:szCs w:val="22"/>
        </w:rPr>
      </w:pPr>
    </w:p>
    <w:p w:rsidR="00E94D6D" w:rsidRPr="001B65CD" w:rsidRDefault="00E94D6D" w:rsidP="00B341C8">
      <w:pPr>
        <w:ind w:left="180"/>
        <w:jc w:val="both"/>
        <w:rPr>
          <w:i/>
          <w:sz w:val="22"/>
          <w:szCs w:val="22"/>
        </w:rPr>
      </w:pPr>
    </w:p>
    <w:p w:rsidR="00DF264B" w:rsidRDefault="00DF264B" w:rsidP="009929B3">
      <w:pPr>
        <w:jc w:val="both"/>
        <w:rPr>
          <w:i/>
        </w:rPr>
      </w:pPr>
    </w:p>
    <w:tbl>
      <w:tblPr>
        <w:tblW w:w="15181" w:type="dxa"/>
        <w:tblInd w:w="5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4045"/>
        <w:gridCol w:w="846"/>
        <w:gridCol w:w="334"/>
        <w:gridCol w:w="33"/>
        <w:gridCol w:w="146"/>
        <w:gridCol w:w="146"/>
        <w:gridCol w:w="476"/>
        <w:gridCol w:w="619"/>
        <w:gridCol w:w="381"/>
        <w:gridCol w:w="2203"/>
        <w:gridCol w:w="289"/>
        <w:gridCol w:w="1523"/>
        <w:gridCol w:w="1180"/>
        <w:gridCol w:w="1498"/>
        <w:gridCol w:w="1462"/>
      </w:tblGrid>
      <w:tr w:rsidR="00274ED9" w:rsidTr="001941F0">
        <w:trPr>
          <w:gridAfter w:val="5"/>
          <w:wAfter w:w="5952" w:type="dxa"/>
          <w:trHeight w:val="315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74ED9" w:rsidRPr="00DF264B" w:rsidRDefault="001B65CD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Město Jilemnice - základní údaje k hospodaření za rok 2016 a k rozpočtu 2017</w:t>
            </w:r>
          </w:p>
        </w:tc>
      </w:tr>
      <w:tr w:rsidR="00274ED9" w:rsidTr="001941F0">
        <w:trPr>
          <w:gridAfter w:val="5"/>
          <w:wAfter w:w="5952" w:type="dxa"/>
          <w:trHeight w:val="315"/>
        </w:trPr>
        <w:tc>
          <w:tcPr>
            <w:tcW w:w="922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274ED9" w:rsidRPr="001B65CD" w:rsidRDefault="001B65CD">
            <w:pPr>
              <w:rPr>
                <w:rFonts w:ascii="Arial CE" w:hAnsi="Arial CE" w:cs="Arial"/>
                <w:b/>
                <w:bCs/>
              </w:rPr>
            </w:pPr>
            <w:r>
              <w:rPr>
                <w:rFonts w:ascii="Arial CE" w:hAnsi="Arial CE" w:cs="Arial"/>
                <w:b/>
                <w:bCs/>
              </w:rPr>
              <w:t xml:space="preserve">1) Vyhodnocení přebytku hospodaření za rok 2017 </w:t>
            </w:r>
            <w:r>
              <w:rPr>
                <w:rFonts w:ascii="Arial CE" w:hAnsi="Arial CE" w:cs="Arial"/>
                <w:b/>
                <w:bCs/>
                <w:sz w:val="20"/>
                <w:szCs w:val="20"/>
              </w:rPr>
              <w:t>(tis. Kč.)</w:t>
            </w:r>
          </w:p>
        </w:tc>
      </w:tr>
      <w:tr w:rsidR="00274ED9" w:rsidTr="001941F0">
        <w:trPr>
          <w:gridAfter w:val="5"/>
          <w:wAfter w:w="5952" w:type="dxa"/>
          <w:trHeight w:val="255"/>
        </w:trPr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rozdíl </w:t>
            </w:r>
            <w:r w:rsidR="00DF264B">
              <w:rPr>
                <w:rFonts w:ascii="Arial" w:hAnsi="Arial" w:cs="Arial"/>
                <w:b/>
                <w:bCs/>
                <w:sz w:val="20"/>
                <w:szCs w:val="20"/>
              </w:rPr>
              <w:t>mezi příjmy a výdaji za rok 201</w:t>
            </w:r>
            <w:r w:rsidR="001B65C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Pr="00DF264B" w:rsidRDefault="001B65CD" w:rsidP="00274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16 564</w:t>
            </w:r>
          </w:p>
        </w:tc>
      </w:tr>
      <w:tr w:rsidR="00274ED9" w:rsidTr="001941F0">
        <w:trPr>
          <w:gridAfter w:val="5"/>
          <w:wAfter w:w="5952" w:type="dxa"/>
          <w:trHeight w:val="255"/>
        </w:trPr>
        <w:tc>
          <w:tcPr>
            <w:tcW w:w="5258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Default="00DF264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zapojený přebytek z roku 201</w:t>
            </w:r>
            <w:r w:rsidR="001B65CD">
              <w:rPr>
                <w:rFonts w:ascii="Arial" w:hAnsi="Arial" w:cs="Arial"/>
                <w:sz w:val="20"/>
                <w:szCs w:val="20"/>
              </w:rPr>
              <w:t>5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Pr="001B65CD" w:rsidRDefault="001B65CD" w:rsidP="00274ED9">
            <w:pPr>
              <w:rPr>
                <w:rFonts w:ascii="Arial CE" w:hAnsi="Arial CE" w:cs="Arial"/>
                <w:sz w:val="20"/>
                <w:szCs w:val="20"/>
              </w:rPr>
            </w:pPr>
            <w:r>
              <w:rPr>
                <w:rFonts w:ascii="Arial CE" w:hAnsi="Arial CE" w:cs="Arial"/>
                <w:sz w:val="20"/>
                <w:szCs w:val="20"/>
              </w:rPr>
              <w:t>55 515</w:t>
            </w:r>
          </w:p>
        </w:tc>
      </w:tr>
      <w:tr w:rsidR="00274ED9" w:rsidTr="001941F0">
        <w:trPr>
          <w:gridAfter w:val="5"/>
          <w:wAfter w:w="5952" w:type="dxa"/>
          <w:trHeight w:val="255"/>
        </w:trPr>
        <w:tc>
          <w:tcPr>
            <w:tcW w:w="540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celkový přebytek hospodaření za r</w:t>
            </w:r>
            <w:r w:rsidR="00DF264B">
              <w:rPr>
                <w:rFonts w:ascii="Arial" w:hAnsi="Arial" w:cs="Arial"/>
                <w:b/>
                <w:bCs/>
                <w:sz w:val="20"/>
                <w:szCs w:val="20"/>
              </w:rPr>
              <w:t>ok 201</w:t>
            </w:r>
            <w:r w:rsidR="001B65CD">
              <w:rPr>
                <w:rFonts w:ascii="Arial" w:hAnsi="Arial" w:cs="Arial"/>
                <w:b/>
                <w:bCs/>
                <w:sz w:val="20"/>
                <w:szCs w:val="20"/>
              </w:rPr>
              <w:t>6</w:t>
            </w:r>
          </w:p>
        </w:tc>
        <w:tc>
          <w:tcPr>
            <w:tcW w:w="14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67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74ED9" w:rsidRPr="001B65CD" w:rsidRDefault="001B65CD" w:rsidP="00274ED9">
            <w:pPr>
              <w:rPr>
                <w:rFonts w:ascii="Arial CE" w:hAnsi="Arial CE" w:cs="Arial"/>
                <w:b/>
                <w:bCs/>
                <w:sz w:val="20"/>
                <w:szCs w:val="20"/>
              </w:rPr>
            </w:pPr>
            <w:r>
              <w:rPr>
                <w:rFonts w:ascii="Arial CE" w:hAnsi="Arial CE" w:cs="Arial"/>
                <w:b/>
                <w:bCs/>
                <w:sz w:val="20"/>
                <w:szCs w:val="20"/>
              </w:rPr>
              <w:t>72 079</w:t>
            </w:r>
          </w:p>
        </w:tc>
      </w:tr>
      <w:tr w:rsidR="00274ED9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single" w:sz="8" w:space="0" w:color="auto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činnosti</w:t>
            </w:r>
          </w:p>
        </w:tc>
        <w:tc>
          <w:tcPr>
            <w:tcW w:w="846" w:type="dxa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vyšší</w:t>
            </w:r>
          </w:p>
        </w:tc>
        <w:tc>
          <w:tcPr>
            <w:tcW w:w="1135" w:type="dxa"/>
            <w:gridSpan w:val="5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ušetřené </w:t>
            </w:r>
          </w:p>
        </w:tc>
        <w:tc>
          <w:tcPr>
            <w:tcW w:w="1000" w:type="dxa"/>
            <w:gridSpan w:val="2"/>
            <w:tcBorders>
              <w:top w:val="single" w:sz="8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saldo</w:t>
            </w:r>
          </w:p>
        </w:tc>
        <w:tc>
          <w:tcPr>
            <w:tcW w:w="2487" w:type="dxa"/>
            <w:gridSpan w:val="2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poznámka</w:t>
            </w:r>
          </w:p>
        </w:tc>
      </w:tr>
      <w:tr w:rsidR="00274ED9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8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příjmy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výdaje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bottom"/>
            <w:hideMark/>
          </w:tcPr>
          <w:p w:rsidR="00274ED9" w:rsidRDefault="00274ED9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>
              <w:rPr>
                <w:rFonts w:ascii="Arial" w:hAnsi="Arial" w:cs="Arial"/>
                <w:b/>
                <w:bCs/>
                <w:sz w:val="16"/>
                <w:szCs w:val="16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daňové příjmy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6 130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6 130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prodej majetku (bytů a pozemků)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1 103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1 103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výtěžek z hazardu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888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888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lesnictví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796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126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922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pečovatelská služba, soc. péče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308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72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380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komunální odpad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141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41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182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správní poplatky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124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124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areál služeb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86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80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ostatní místní poplatky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85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85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činnost místní správy, </w:t>
            </w:r>
            <w:proofErr w:type="spellStart"/>
            <w:r w:rsidRPr="009929B3">
              <w:rPr>
                <w:rFonts w:ascii="Arial" w:hAnsi="Arial" w:cs="Arial"/>
                <w:sz w:val="20"/>
                <w:szCs w:val="20"/>
              </w:rPr>
              <w:t>veřejnospr</w:t>
            </w:r>
            <w:proofErr w:type="spellEnd"/>
            <w:r w:rsidRPr="009929B3">
              <w:rPr>
                <w:rFonts w:ascii="Arial" w:hAnsi="Arial" w:cs="Arial"/>
                <w:sz w:val="20"/>
                <w:szCs w:val="20"/>
              </w:rPr>
              <w:t>. smlouvy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52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1 293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1 345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komunální služby, opravy </w:t>
            </w:r>
            <w:proofErr w:type="spellStart"/>
            <w:r w:rsidRPr="009929B3">
              <w:rPr>
                <w:rFonts w:ascii="Arial" w:hAnsi="Arial" w:cs="Arial"/>
                <w:sz w:val="20"/>
                <w:szCs w:val="20"/>
              </w:rPr>
              <w:t>pron</w:t>
            </w:r>
            <w:proofErr w:type="spellEnd"/>
            <w:r w:rsidRPr="009929B3">
              <w:rPr>
                <w:rFonts w:ascii="Arial" w:hAnsi="Arial" w:cs="Arial"/>
                <w:sz w:val="20"/>
                <w:szCs w:val="20"/>
              </w:rPr>
              <w:t>. majetku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47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652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699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pohřebnictví, kolumbárium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41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234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275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přesun do r. 2017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sankční platby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color w:val="FF0000"/>
                <w:sz w:val="20"/>
                <w:szCs w:val="20"/>
              </w:rPr>
              <w:t xml:space="preserve">-202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color w:val="FF0000"/>
                <w:sz w:val="20"/>
                <w:szCs w:val="20"/>
              </w:rPr>
              <w:t xml:space="preserve">-202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bytové hospodářství - nájem, služby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color w:val="FF0000"/>
                <w:sz w:val="20"/>
                <w:szCs w:val="20"/>
              </w:rPr>
              <w:t xml:space="preserve">-1 276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1 007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color w:val="FF0000"/>
                <w:sz w:val="20"/>
                <w:szCs w:val="20"/>
              </w:rPr>
              <w:t xml:space="preserve">-269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projekt Hraběnka 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23 615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23 615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přesun do r. 2017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investice SC, koupaliště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17 048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17 048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přesun do r. 2017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komunikace opravy, investice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2 042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2 042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opravy budov škol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1 825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1 825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přesun do r. 2017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zámecký park - podium, cesty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1 500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1 500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přesun do r. 2017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památková péče, kultura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568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568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příprava území k bytové výstavbě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495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495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přesun do </w:t>
            </w:r>
            <w:proofErr w:type="gramStart"/>
            <w:r w:rsidRPr="009929B3">
              <w:rPr>
                <w:rFonts w:ascii="Arial" w:hAnsi="Arial" w:cs="Arial"/>
                <w:sz w:val="20"/>
                <w:szCs w:val="20"/>
              </w:rPr>
              <w:t>r.2017</w:t>
            </w:r>
            <w:proofErr w:type="gramEnd"/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proofErr w:type="gramStart"/>
            <w:r w:rsidRPr="009929B3">
              <w:rPr>
                <w:rFonts w:ascii="Arial" w:hAnsi="Arial" w:cs="Arial"/>
                <w:sz w:val="20"/>
                <w:szCs w:val="20"/>
              </w:rPr>
              <w:t>výdaje,daň</w:t>
            </w:r>
            <w:proofErr w:type="spellEnd"/>
            <w:proofErr w:type="gramEnd"/>
            <w:r w:rsidRPr="009929B3">
              <w:rPr>
                <w:rFonts w:ascii="Arial" w:hAnsi="Arial" w:cs="Arial"/>
                <w:sz w:val="20"/>
                <w:szCs w:val="20"/>
              </w:rPr>
              <w:t xml:space="preserve"> za prodej majetku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428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428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krizové řízení, požární ochrana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322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322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ostatní sociální péče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238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238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školní stravování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223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223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Projekt Revitalizace parku v </w:t>
            </w:r>
            <w:proofErr w:type="spellStart"/>
            <w:r w:rsidRPr="009929B3">
              <w:rPr>
                <w:rFonts w:ascii="Arial" w:hAnsi="Arial" w:cs="Arial"/>
                <w:sz w:val="20"/>
                <w:szCs w:val="20"/>
              </w:rPr>
              <w:t>Dolení</w:t>
            </w:r>
            <w:proofErr w:type="spellEnd"/>
            <w:r w:rsidRPr="009929B3">
              <w:rPr>
                <w:rFonts w:ascii="Arial" w:hAnsi="Arial" w:cs="Arial"/>
                <w:sz w:val="20"/>
                <w:szCs w:val="20"/>
              </w:rPr>
              <w:t xml:space="preserve"> ul.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215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215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přesun do r. 2017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finanční operace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203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203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územní plán, územní </w:t>
            </w:r>
            <w:proofErr w:type="spellStart"/>
            <w:proofErr w:type="gramStart"/>
            <w:r w:rsidRPr="009929B3">
              <w:rPr>
                <w:rFonts w:ascii="Arial" w:hAnsi="Arial" w:cs="Arial"/>
                <w:sz w:val="20"/>
                <w:szCs w:val="20"/>
              </w:rPr>
              <w:t>rozvoj,inf</w:t>
            </w:r>
            <w:proofErr w:type="spellEnd"/>
            <w:r w:rsidRPr="009929B3">
              <w:rPr>
                <w:rFonts w:ascii="Arial" w:hAnsi="Arial" w:cs="Arial"/>
                <w:sz w:val="20"/>
                <w:szCs w:val="20"/>
              </w:rPr>
              <w:t>.</w:t>
            </w:r>
            <w:proofErr w:type="gramEnd"/>
            <w:r w:rsidRPr="009929B3">
              <w:rPr>
                <w:rFonts w:ascii="Arial" w:hAnsi="Arial" w:cs="Arial"/>
                <w:sz w:val="20"/>
                <w:szCs w:val="20"/>
              </w:rPr>
              <w:t xml:space="preserve"> systém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166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veřejné osvětlení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128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128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nečerpané rozpočtové rezervy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10 910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10 910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1B65CD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ostatní</w:t>
            </w:r>
          </w:p>
        </w:tc>
        <w:tc>
          <w:tcPr>
            <w:tcW w:w="84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101 </w:t>
            </w:r>
          </w:p>
        </w:tc>
        <w:tc>
          <w:tcPr>
            <w:tcW w:w="1135" w:type="dxa"/>
            <w:gridSpan w:val="5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224 </w:t>
            </w:r>
          </w:p>
        </w:tc>
        <w:tc>
          <w:tcPr>
            <w:tcW w:w="1000" w:type="dxa"/>
            <w:gridSpan w:val="2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 xml:space="preserve">325 </w:t>
            </w:r>
          </w:p>
        </w:tc>
        <w:tc>
          <w:tcPr>
            <w:tcW w:w="2487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noWrap/>
            <w:vAlign w:val="bottom"/>
          </w:tcPr>
          <w:p w:rsidR="001B65CD" w:rsidRPr="009929B3" w:rsidRDefault="001B65CD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DF264B" w:rsidTr="001941F0">
        <w:trPr>
          <w:gridAfter w:val="4"/>
          <w:wAfter w:w="5668" w:type="dxa"/>
          <w:trHeight w:val="255"/>
        </w:trPr>
        <w:tc>
          <w:tcPr>
            <w:tcW w:w="40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64B" w:rsidRPr="009929B3" w:rsidRDefault="00DF264B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9B3">
              <w:rPr>
                <w:rFonts w:ascii="Arial" w:hAnsi="Arial" w:cs="Arial"/>
                <w:b/>
                <w:bCs/>
                <w:sz w:val="20"/>
                <w:szCs w:val="20"/>
              </w:rPr>
              <w:t>celkem</w:t>
            </w:r>
          </w:p>
        </w:tc>
        <w:tc>
          <w:tcPr>
            <w:tcW w:w="8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64B" w:rsidRPr="009929B3" w:rsidRDefault="00DF264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17 024 </w:t>
            </w:r>
          </w:p>
        </w:tc>
        <w:tc>
          <w:tcPr>
            <w:tcW w:w="1135" w:type="dxa"/>
            <w:gridSpan w:val="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64B" w:rsidRPr="009929B3" w:rsidRDefault="00DF264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9B3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38 491 </w:t>
            </w:r>
          </w:p>
        </w:tc>
        <w:tc>
          <w:tcPr>
            <w:tcW w:w="100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64B" w:rsidRPr="009929B3" w:rsidRDefault="00DF264B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9929B3">
              <w:rPr>
                <w:rFonts w:ascii="Arial" w:hAnsi="Arial" w:cs="Arial"/>
                <w:b/>
                <w:bCs/>
                <w:sz w:val="20"/>
                <w:szCs w:val="20"/>
              </w:rPr>
              <w:t>55 515</w:t>
            </w:r>
          </w:p>
        </w:tc>
        <w:tc>
          <w:tcPr>
            <w:tcW w:w="2487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DF264B" w:rsidRPr="009929B3" w:rsidRDefault="00DF264B">
            <w:pPr>
              <w:rPr>
                <w:rFonts w:ascii="Arial" w:hAnsi="Arial" w:cs="Arial"/>
                <w:sz w:val="20"/>
                <w:szCs w:val="20"/>
              </w:rPr>
            </w:pPr>
            <w:r w:rsidRPr="009929B3"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  <w:tr w:rsidR="006266F3" w:rsidRPr="00895DDA" w:rsidTr="001941F0">
        <w:trPr>
          <w:trHeight w:val="255"/>
        </w:trPr>
        <w:tc>
          <w:tcPr>
            <w:tcW w:w="11041" w:type="dxa"/>
            <w:gridSpan w:val="1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929B3" w:rsidRDefault="009929B3"/>
          <w:p w:rsidR="009929B3" w:rsidRDefault="009929B3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1941F0" w:rsidRDefault="001941F0"/>
          <w:p w:rsidR="009929B3" w:rsidRDefault="009929B3"/>
          <w:p w:rsidR="00D76C37" w:rsidRDefault="00D76C37"/>
          <w:p w:rsidR="00D76C37" w:rsidRDefault="00D76C37"/>
          <w:tbl>
            <w:tblPr>
              <w:tblW w:w="94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4623"/>
              <w:gridCol w:w="1701"/>
              <w:gridCol w:w="1512"/>
              <w:gridCol w:w="1607"/>
            </w:tblGrid>
            <w:tr w:rsidR="006D71A9" w:rsidRPr="00895DDA" w:rsidTr="006D71A9">
              <w:trPr>
                <w:trHeight w:val="330"/>
              </w:trPr>
              <w:tc>
                <w:tcPr>
                  <w:tcW w:w="7836" w:type="dxa"/>
                  <w:gridSpan w:val="3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:rsidR="006D71A9" w:rsidRPr="00895DDA" w:rsidRDefault="006D71A9" w:rsidP="001B65CD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95DDA">
                    <w:rPr>
                      <w:rFonts w:ascii="Arial" w:hAnsi="Arial" w:cs="Arial"/>
                      <w:b/>
                      <w:bCs/>
                    </w:rPr>
                    <w:t>2) V rozpočtu 201</w:t>
                  </w:r>
                  <w:r w:rsidR="001B65CD">
                    <w:rPr>
                      <w:rFonts w:ascii="Arial" w:hAnsi="Arial" w:cs="Arial"/>
                      <w:b/>
                      <w:bCs/>
                    </w:rPr>
                    <w:t>7</w:t>
                  </w:r>
                  <w:r w:rsidRPr="00895DDA">
                    <w:rPr>
                      <w:rFonts w:ascii="Arial" w:hAnsi="Arial" w:cs="Arial"/>
                      <w:b/>
                      <w:bCs/>
                    </w:rPr>
                    <w:t xml:space="preserve"> jsou zahrnuty tyto investice:</w:t>
                  </w:r>
                </w:p>
              </w:tc>
              <w:tc>
                <w:tcPr>
                  <w:tcW w:w="1607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</w:tcPr>
                <w:p w:rsidR="006D71A9" w:rsidRPr="00895DDA" w:rsidRDefault="006D71A9" w:rsidP="006D71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5DD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6D71A9" w:rsidRPr="00895DDA" w:rsidTr="00D76C37">
              <w:trPr>
                <w:trHeight w:val="270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1A9" w:rsidRPr="009929B3" w:rsidRDefault="006D71A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29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Investice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A9" w:rsidRPr="009929B3" w:rsidRDefault="006D71A9">
                  <w:pPr>
                    <w:jc w:val="right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29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 xml:space="preserve">částka (tis. </w:t>
                  </w:r>
                  <w:proofErr w:type="gramStart"/>
                  <w:r w:rsidRPr="009929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Kč )</w:t>
                  </w:r>
                  <w:proofErr w:type="gramEnd"/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A9" w:rsidRPr="009929B3" w:rsidRDefault="006D71A9">
                  <w:pPr>
                    <w:jc w:val="center"/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29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poznámka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Projekt Hraběnka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49 016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Koupaliště - dokončení projekce, výstavba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10 200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z toho 200 dokončení projekce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Požární ochrana - nákup nové cisterny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6 000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 xml:space="preserve">Chodník Čsl. </w:t>
                  </w:r>
                  <w:proofErr w:type="spellStart"/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Legiíí</w:t>
                  </w:r>
                  <w:proofErr w:type="spellEnd"/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4 835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vlastní podíl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 xml:space="preserve">Rekonstrukce </w:t>
                  </w:r>
                  <w:proofErr w:type="gramStart"/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čp.64</w:t>
                  </w:r>
                  <w:proofErr w:type="gramEnd"/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 xml:space="preserve"> - rozvoj soc. služeb 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3 800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projekt IROP, výzva č. 29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Ulice Žižkova - rekonstrukce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3 200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z toho 3000 dotace VHS na kanalizaci a vodovod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 w:rsidP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 xml:space="preserve">Místní správa - </w:t>
                  </w:r>
                  <w:proofErr w:type="spellStart"/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rotomaty</w:t>
                  </w:r>
                  <w:proofErr w:type="spellEnd"/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 xml:space="preserve"> pro SO, klimatizace, VT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2 771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Parkoviště u DPS a přechod Roztocká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2 400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Příspěvek na rozšíření vybavení SC (závlahový systém)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2 000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Chodník ul. Roztocká - projekce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700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Příprava území k bytové výstavbě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500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Výkup pozemků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410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Cyklostezka "Za prací" - projekce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400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Projektová dokumentace nad 60000,- Kč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360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55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Obecní policie - kamerový systém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350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9B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9929B3" w:rsidRPr="00895DDA" w:rsidTr="00D76C37">
              <w:trPr>
                <w:trHeight w:val="270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Chodník a VO ul. Na Kozinci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270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929B3" w:rsidRPr="00895DDA" w:rsidTr="00D76C37">
              <w:trPr>
                <w:trHeight w:val="270"/>
              </w:trPr>
              <w:tc>
                <w:tcPr>
                  <w:tcW w:w="46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Přístavba kolumbária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200</w:t>
                  </w:r>
                </w:p>
              </w:tc>
              <w:tc>
                <w:tcPr>
                  <w:tcW w:w="311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</w:tr>
            <w:tr w:rsidR="009929B3" w:rsidRPr="00895DDA" w:rsidTr="00D76C37">
              <w:trPr>
                <w:trHeight w:val="270"/>
              </w:trPr>
              <w:tc>
                <w:tcPr>
                  <w:tcW w:w="4623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9929B3" w:rsidRPr="009929B3" w:rsidRDefault="009929B3">
                  <w:pPr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Investiční rezerva ostatní</w:t>
                  </w:r>
                </w:p>
              </w:tc>
              <w:tc>
                <w:tcPr>
                  <w:tcW w:w="1701" w:type="dxa"/>
                  <w:tcBorders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jc w:val="right"/>
                    <w:rPr>
                      <w:rFonts w:ascii="Arial CE" w:hAnsi="Arial CE" w:cs="Arial"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sz w:val="20"/>
                      <w:szCs w:val="20"/>
                    </w:rPr>
                    <w:t>3 900</w:t>
                  </w:r>
                </w:p>
              </w:tc>
              <w:tc>
                <w:tcPr>
                  <w:tcW w:w="3119" w:type="dxa"/>
                  <w:gridSpan w:val="2"/>
                  <w:tcBorders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9929B3" w:rsidRPr="009929B3" w:rsidRDefault="009929B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9B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6D71A9" w:rsidRPr="00895DDA" w:rsidTr="00D76C37">
              <w:trPr>
                <w:trHeight w:val="270"/>
              </w:trPr>
              <w:tc>
                <w:tcPr>
                  <w:tcW w:w="462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bottom"/>
                  <w:hideMark/>
                </w:tcPr>
                <w:p w:rsidR="006D71A9" w:rsidRPr="009929B3" w:rsidRDefault="006D71A9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9929B3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Celkem</w:t>
                  </w:r>
                </w:p>
              </w:tc>
              <w:tc>
                <w:tcPr>
                  <w:tcW w:w="170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A9" w:rsidRPr="009929B3" w:rsidRDefault="009929B3" w:rsidP="009929B3">
                  <w:pPr>
                    <w:jc w:val="right"/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</w:pPr>
                  <w:r w:rsidRPr="009929B3">
                    <w:rPr>
                      <w:rFonts w:ascii="Arial CE" w:hAnsi="Arial CE" w:cs="Arial"/>
                      <w:b/>
                      <w:bCs/>
                      <w:sz w:val="20"/>
                      <w:szCs w:val="20"/>
                    </w:rPr>
                    <w:t>91 312</w:t>
                  </w:r>
                </w:p>
              </w:tc>
              <w:tc>
                <w:tcPr>
                  <w:tcW w:w="3119" w:type="dxa"/>
                  <w:gridSpan w:val="2"/>
                  <w:tcBorders>
                    <w:top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</w:tcPr>
                <w:p w:rsidR="006D71A9" w:rsidRPr="009929B3" w:rsidRDefault="006D71A9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9929B3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</w:tbl>
          <w:p w:rsidR="006266F3" w:rsidRPr="00895DDA" w:rsidRDefault="006266F3">
            <w:pPr>
              <w:rPr>
                <w:rFonts w:ascii="Arial" w:hAnsi="Arial" w:cs="Arial"/>
                <w:sz w:val="20"/>
                <w:szCs w:val="20"/>
              </w:rPr>
            </w:pPr>
          </w:p>
          <w:tbl>
            <w:tblPr>
              <w:tblW w:w="9443" w:type="dxa"/>
              <w:tblCellMar>
                <w:left w:w="70" w:type="dxa"/>
                <w:right w:w="70" w:type="dxa"/>
              </w:tblCellMar>
              <w:tblLook w:val="04A0" w:firstRow="1" w:lastRow="0" w:firstColumn="1" w:lastColumn="0" w:noHBand="0" w:noVBand="1"/>
            </w:tblPr>
            <w:tblGrid>
              <w:gridCol w:w="15"/>
              <w:gridCol w:w="4025"/>
              <w:gridCol w:w="1180"/>
              <w:gridCol w:w="1420"/>
              <w:gridCol w:w="124"/>
              <w:gridCol w:w="160"/>
              <w:gridCol w:w="1471"/>
              <w:gridCol w:w="1048"/>
            </w:tblGrid>
            <w:tr w:rsidR="006266F3" w:rsidRPr="00895DDA" w:rsidTr="004A06E5">
              <w:trPr>
                <w:trHeight w:val="315"/>
              </w:trPr>
              <w:tc>
                <w:tcPr>
                  <w:tcW w:w="4040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6266F3" w:rsidRPr="00895DDA" w:rsidRDefault="006266F3">
                  <w:pPr>
                    <w:rPr>
                      <w:rFonts w:ascii="Arial" w:hAnsi="Arial" w:cs="Arial"/>
                      <w:b/>
                      <w:bCs/>
                    </w:rPr>
                  </w:pPr>
                  <w:r w:rsidRPr="00895DDA">
                    <w:rPr>
                      <w:rFonts w:ascii="Arial" w:hAnsi="Arial" w:cs="Arial"/>
                      <w:b/>
                      <w:bCs/>
                    </w:rPr>
                    <w:t>3) Údaje o bankovních úvěrech</w:t>
                  </w:r>
                </w:p>
              </w:tc>
              <w:tc>
                <w:tcPr>
                  <w:tcW w:w="118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6266F3" w:rsidRPr="00895DDA" w:rsidRDefault="006266F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5D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142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6266F3" w:rsidRPr="00895DDA" w:rsidRDefault="006266F3">
                  <w:pPr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</w:pPr>
                  <w:r w:rsidRPr="00895DDA">
                    <w:rPr>
                      <w:rFonts w:ascii="Arial" w:hAnsi="Arial" w:cs="Arial"/>
                      <w:b/>
                      <w:bCs/>
                      <w:sz w:val="20"/>
                      <w:szCs w:val="20"/>
                    </w:rPr>
                    <w:t> </w:t>
                  </w:r>
                </w:p>
              </w:tc>
              <w:tc>
                <w:tcPr>
                  <w:tcW w:w="2803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6266F3" w:rsidRPr="00895DDA" w:rsidRDefault="006266F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5DDA">
                    <w:rPr>
                      <w:rFonts w:ascii="Arial" w:hAnsi="Arial" w:cs="Arial"/>
                      <w:sz w:val="20"/>
                      <w:szCs w:val="20"/>
                    </w:rPr>
                    <w:t> </w:t>
                  </w:r>
                </w:p>
              </w:tc>
            </w:tr>
            <w:tr w:rsidR="006266F3" w:rsidRPr="00895DDA" w:rsidTr="004A06E5">
              <w:trPr>
                <w:gridBefore w:val="1"/>
                <w:gridAfter w:val="1"/>
                <w:wBefore w:w="15" w:type="dxa"/>
                <w:wAfter w:w="1048" w:type="dxa"/>
                <w:trHeight w:val="255"/>
              </w:trPr>
              <w:tc>
                <w:tcPr>
                  <w:tcW w:w="67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F3" w:rsidRPr="00895DDA" w:rsidRDefault="006266F3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895DDA">
                    <w:rPr>
                      <w:rFonts w:ascii="Arial" w:hAnsi="Arial" w:cs="Arial"/>
                      <w:sz w:val="20"/>
                      <w:szCs w:val="20"/>
                    </w:rPr>
                    <w:t>Měst</w:t>
                  </w:r>
                  <w:r w:rsidR="00122A12" w:rsidRPr="00895DDA">
                    <w:rPr>
                      <w:rFonts w:ascii="Arial" w:hAnsi="Arial" w:cs="Arial"/>
                      <w:sz w:val="20"/>
                      <w:szCs w:val="20"/>
                    </w:rPr>
                    <w:t>o Jilemnice nem</w:t>
                  </w:r>
                  <w:r w:rsidR="006D71A9">
                    <w:rPr>
                      <w:rFonts w:ascii="Arial" w:hAnsi="Arial" w:cs="Arial"/>
                      <w:sz w:val="20"/>
                      <w:szCs w:val="20"/>
                    </w:rPr>
                    <w:t xml:space="preserve">á ke dni </w:t>
                  </w:r>
                  <w:proofErr w:type="gramStart"/>
                  <w:r w:rsidR="006D71A9">
                    <w:rPr>
                      <w:rFonts w:ascii="Arial" w:hAnsi="Arial" w:cs="Arial"/>
                      <w:sz w:val="20"/>
                      <w:szCs w:val="20"/>
                    </w:rPr>
                    <w:t>1.1.2016</w:t>
                  </w:r>
                  <w:proofErr w:type="gramEnd"/>
                  <w:r w:rsidRPr="00895DDA">
                    <w:rPr>
                      <w:rFonts w:ascii="Arial" w:hAnsi="Arial" w:cs="Arial"/>
                      <w:sz w:val="20"/>
                      <w:szCs w:val="20"/>
                    </w:rPr>
                    <w:t xml:space="preserve"> dlouhodobý ani krátkodobý úvěr</w:t>
                  </w: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F3" w:rsidRPr="00895DDA" w:rsidRDefault="006266F3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6266F3" w:rsidRPr="00895DDA" w:rsidRDefault="006266F3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  <w:tr w:rsidR="001941F0" w:rsidRPr="00895DDA" w:rsidTr="004A06E5">
              <w:trPr>
                <w:gridBefore w:val="1"/>
                <w:gridAfter w:val="1"/>
                <w:wBefore w:w="15" w:type="dxa"/>
                <w:wAfter w:w="1048" w:type="dxa"/>
                <w:trHeight w:val="255"/>
              </w:trPr>
              <w:tc>
                <w:tcPr>
                  <w:tcW w:w="6749" w:type="dxa"/>
                  <w:gridSpan w:val="4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76C37" w:rsidRDefault="00D76C37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D76C37" w:rsidRDefault="00D76C37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  <w:p w:rsidR="001941F0" w:rsidRPr="00895DDA" w:rsidRDefault="001941F0" w:rsidP="00BC3D84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41F0" w:rsidRPr="00895DDA" w:rsidRDefault="001941F0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</w:p>
              </w:tc>
              <w:tc>
                <w:tcPr>
                  <w:tcW w:w="14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</w:tcPr>
                <w:p w:rsidR="001941F0" w:rsidRPr="00895DDA" w:rsidRDefault="001941F0">
                  <w:pPr>
                    <w:rPr>
                      <w:rFonts w:ascii="Arial" w:hAnsi="Arial" w:cs="Arial"/>
                      <w:sz w:val="16"/>
                      <w:szCs w:val="16"/>
                    </w:rPr>
                  </w:pPr>
                </w:p>
              </w:tc>
            </w:tr>
          </w:tbl>
          <w:p w:rsidR="006266F3" w:rsidRPr="00895DDA" w:rsidRDefault="006266F3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6F3" w:rsidRPr="00895DDA" w:rsidRDefault="006266F3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49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6F3" w:rsidRPr="00895DDA" w:rsidRDefault="006266F3">
            <w:pPr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  <w:tc>
          <w:tcPr>
            <w:tcW w:w="146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6266F3" w:rsidRPr="00895DDA" w:rsidRDefault="006266F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</w:p>
        </w:tc>
      </w:tr>
      <w:tr w:rsidR="004A06E5" w:rsidTr="001941F0">
        <w:trPr>
          <w:gridAfter w:val="4"/>
          <w:wAfter w:w="5668" w:type="dxa"/>
          <w:trHeight w:val="315"/>
        </w:trPr>
        <w:tc>
          <w:tcPr>
            <w:tcW w:w="40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A06E5" w:rsidRDefault="004A06E5" w:rsidP="004A06E5">
            <w:pPr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lastRenderedPageBreak/>
              <w:t>4 Údaje o daňových příjmech</w:t>
            </w:r>
          </w:p>
        </w:tc>
        <w:tc>
          <w:tcPr>
            <w:tcW w:w="118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A06E5" w:rsidRDefault="004A0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1420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A06E5" w:rsidRDefault="004A06E5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 w:cs="Arial"/>
                <w:b/>
                <w:bCs/>
                <w:sz w:val="20"/>
                <w:szCs w:val="20"/>
              </w:rPr>
              <w:t> </w:t>
            </w:r>
          </w:p>
        </w:tc>
        <w:tc>
          <w:tcPr>
            <w:tcW w:w="287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4A06E5" w:rsidRDefault="004A06E5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 </w:t>
            </w:r>
          </w:p>
        </w:tc>
      </w:tr>
    </w:tbl>
    <w:p w:rsidR="004A06E5" w:rsidRDefault="004A06E5" w:rsidP="00E606DB"/>
    <w:tbl>
      <w:tblPr>
        <w:tblW w:w="9923" w:type="dxa"/>
        <w:tblInd w:w="70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11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38"/>
        <w:gridCol w:w="564"/>
        <w:gridCol w:w="709"/>
      </w:tblGrid>
      <w:tr w:rsidR="009929B3" w:rsidRPr="00D76C37" w:rsidTr="006D71A9">
        <w:trPr>
          <w:trHeight w:val="270"/>
        </w:trPr>
        <w:tc>
          <w:tcPr>
            <w:tcW w:w="111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druh daně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6C37">
              <w:rPr>
                <w:rFonts w:ascii="Arial" w:hAnsi="Arial" w:cs="Arial"/>
                <w:b/>
                <w:bCs/>
                <w:sz w:val="16"/>
                <w:szCs w:val="16"/>
              </w:rPr>
              <w:t>2002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2003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2004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2005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2006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2007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2008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2009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2010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2011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2012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2013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2014</w:t>
            </w:r>
          </w:p>
        </w:tc>
        <w:tc>
          <w:tcPr>
            <w:tcW w:w="538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2015</w:t>
            </w:r>
          </w:p>
        </w:tc>
        <w:tc>
          <w:tcPr>
            <w:tcW w:w="564" w:type="dxa"/>
            <w:tcBorders>
              <w:top w:val="single" w:sz="4" w:space="0" w:color="auto"/>
              <w:left w:val="nil"/>
              <w:bottom w:val="single" w:sz="8" w:space="0" w:color="auto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2016</w:t>
            </w:r>
          </w:p>
        </w:tc>
        <w:tc>
          <w:tcPr>
            <w:tcW w:w="709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center"/>
              <w:rPr>
                <w:rFonts w:ascii="Arial CE" w:hAnsi="Arial CE"/>
                <w:b/>
                <w:bCs/>
                <w:sz w:val="16"/>
                <w:szCs w:val="16"/>
              </w:rPr>
            </w:pPr>
            <w:r w:rsidRPr="00D76C37">
              <w:rPr>
                <w:rFonts w:ascii="Arial CE" w:hAnsi="Arial CE"/>
                <w:b/>
                <w:bCs/>
                <w:sz w:val="16"/>
                <w:szCs w:val="16"/>
              </w:rPr>
              <w:t>R2017</w:t>
            </w:r>
          </w:p>
        </w:tc>
      </w:tr>
      <w:tr w:rsidR="009929B3" w:rsidTr="006D71A9">
        <w:trPr>
          <w:trHeight w:val="256"/>
        </w:trPr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rPr>
                <w:rFonts w:ascii="Arial" w:hAnsi="Arial" w:cs="Arial"/>
                <w:sz w:val="16"/>
                <w:szCs w:val="16"/>
              </w:rPr>
            </w:pPr>
            <w:r w:rsidRPr="00D76C37">
              <w:rPr>
                <w:rFonts w:ascii="Arial" w:hAnsi="Arial" w:cs="Arial"/>
                <w:sz w:val="16"/>
                <w:szCs w:val="16"/>
              </w:rPr>
              <w:t>ze závislé činnosti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7 272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7 772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8 656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9 123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9 132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10 339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9 525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9 012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8 986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9 577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9 681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12 987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13 577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13 857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15 512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6C37">
              <w:rPr>
                <w:rFonts w:ascii="Arial" w:hAnsi="Arial" w:cs="Arial"/>
                <w:sz w:val="14"/>
                <w:szCs w:val="14"/>
              </w:rPr>
              <w:t>15 600</w:t>
            </w:r>
          </w:p>
        </w:tc>
      </w:tr>
      <w:tr w:rsidR="009929B3" w:rsidTr="006D71A9">
        <w:trPr>
          <w:trHeight w:val="255"/>
        </w:trPr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rPr>
                <w:rFonts w:ascii="Arial" w:hAnsi="Arial" w:cs="Arial"/>
                <w:sz w:val="16"/>
                <w:szCs w:val="16"/>
              </w:rPr>
            </w:pPr>
            <w:r w:rsidRPr="00D76C37">
              <w:rPr>
                <w:rFonts w:ascii="Arial" w:hAnsi="Arial" w:cs="Arial"/>
                <w:sz w:val="16"/>
                <w:szCs w:val="16"/>
              </w:rPr>
              <w:t>FO z přiznání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4 681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5 128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5 788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6 185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4 528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3 660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5 451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1 433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1 996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1 299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1 466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1 005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1 413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1 440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1 364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6C37">
              <w:rPr>
                <w:rFonts w:ascii="Arial" w:hAnsi="Arial" w:cs="Arial"/>
                <w:sz w:val="14"/>
                <w:szCs w:val="14"/>
              </w:rPr>
              <w:t>300</w:t>
            </w:r>
          </w:p>
        </w:tc>
      </w:tr>
      <w:tr w:rsidR="009929B3" w:rsidTr="006D71A9">
        <w:trPr>
          <w:trHeight w:val="255"/>
        </w:trPr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rPr>
                <w:rFonts w:ascii="Arial" w:hAnsi="Arial" w:cs="Arial"/>
                <w:sz w:val="16"/>
                <w:szCs w:val="16"/>
              </w:rPr>
            </w:pPr>
            <w:r w:rsidRPr="00D76C37">
              <w:rPr>
                <w:rFonts w:ascii="Arial" w:hAnsi="Arial" w:cs="Arial"/>
                <w:sz w:val="16"/>
                <w:szCs w:val="16"/>
              </w:rPr>
              <w:t>z právnických osob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7 141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7 868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8 576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9 494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9 696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10 931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12 842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8 904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8 732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8 139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8 960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11 770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13 460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13 666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15 443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6C37">
              <w:rPr>
                <w:rFonts w:ascii="Arial" w:hAnsi="Arial" w:cs="Arial"/>
                <w:sz w:val="14"/>
                <w:szCs w:val="14"/>
              </w:rPr>
              <w:t>14 200</w:t>
            </w:r>
          </w:p>
        </w:tc>
      </w:tr>
      <w:tr w:rsidR="009929B3" w:rsidTr="006D71A9">
        <w:trPr>
          <w:trHeight w:val="255"/>
        </w:trPr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rPr>
                <w:rFonts w:ascii="Arial" w:hAnsi="Arial" w:cs="Arial"/>
                <w:sz w:val="16"/>
                <w:szCs w:val="16"/>
              </w:rPr>
            </w:pPr>
            <w:r w:rsidRPr="00D76C37">
              <w:rPr>
                <w:rFonts w:ascii="Arial" w:hAnsi="Arial" w:cs="Arial"/>
                <w:sz w:val="16"/>
                <w:szCs w:val="16"/>
              </w:rPr>
              <w:t>DPH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11 100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11 856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12 641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14 935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15 652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16 558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18 362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17 902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18 833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19 325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18 079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25 573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27 258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27 046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28 298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6C37">
              <w:rPr>
                <w:rFonts w:ascii="Arial" w:hAnsi="Arial" w:cs="Arial"/>
                <w:sz w:val="14"/>
                <w:szCs w:val="14"/>
              </w:rPr>
              <w:t>28 500</w:t>
            </w:r>
          </w:p>
        </w:tc>
      </w:tr>
      <w:tr w:rsidR="009929B3" w:rsidTr="006D71A9">
        <w:trPr>
          <w:trHeight w:val="255"/>
        </w:trPr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rPr>
                <w:rFonts w:ascii="Arial" w:hAnsi="Arial" w:cs="Arial"/>
                <w:sz w:val="16"/>
                <w:szCs w:val="16"/>
              </w:rPr>
            </w:pPr>
            <w:r w:rsidRPr="00D76C37">
              <w:rPr>
                <w:rFonts w:ascii="Arial" w:hAnsi="Arial" w:cs="Arial"/>
                <w:sz w:val="16"/>
                <w:szCs w:val="16"/>
              </w:rPr>
              <w:t>srážková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456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546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460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524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602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739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713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717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778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912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1 224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1 406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1 473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1 494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6C37">
              <w:rPr>
                <w:rFonts w:ascii="Arial" w:hAnsi="Arial" w:cs="Arial"/>
                <w:sz w:val="14"/>
                <w:szCs w:val="14"/>
              </w:rPr>
              <w:t>1 400</w:t>
            </w:r>
          </w:p>
        </w:tc>
      </w:tr>
      <w:tr w:rsidR="009929B3" w:rsidTr="006D71A9">
        <w:trPr>
          <w:trHeight w:val="255"/>
        </w:trPr>
        <w:tc>
          <w:tcPr>
            <w:tcW w:w="1118" w:type="dxa"/>
            <w:tcBorders>
              <w:top w:val="nil"/>
              <w:left w:val="single" w:sz="8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rPr>
                <w:rFonts w:ascii="Arial" w:hAnsi="Arial" w:cs="Arial"/>
                <w:sz w:val="16"/>
                <w:szCs w:val="16"/>
              </w:rPr>
            </w:pPr>
            <w:r w:rsidRPr="00D76C37">
              <w:rPr>
                <w:rFonts w:ascii="Arial" w:hAnsi="Arial" w:cs="Arial"/>
                <w:sz w:val="16"/>
                <w:szCs w:val="16"/>
              </w:rPr>
              <w:t>z nemovitosti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2 084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2 109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2 277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2 201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2 300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2 307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2 299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2 288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3 710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3 691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4 234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4 033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3 970</w:t>
            </w:r>
          </w:p>
        </w:tc>
        <w:tc>
          <w:tcPr>
            <w:tcW w:w="53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3 957</w:t>
            </w:r>
          </w:p>
        </w:tc>
        <w:tc>
          <w:tcPr>
            <w:tcW w:w="564" w:type="dxa"/>
            <w:tcBorders>
              <w:top w:val="nil"/>
              <w:left w:val="nil"/>
              <w:bottom w:val="nil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2"/>
                <w:szCs w:val="12"/>
              </w:rPr>
            </w:pPr>
            <w:r w:rsidRPr="00D76C37">
              <w:rPr>
                <w:rFonts w:ascii="Arial" w:hAnsi="Arial" w:cs="Arial"/>
                <w:sz w:val="12"/>
                <w:szCs w:val="12"/>
              </w:rPr>
              <w:t>4 021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sz w:val="14"/>
                <w:szCs w:val="14"/>
              </w:rPr>
            </w:pPr>
            <w:r w:rsidRPr="00D76C37">
              <w:rPr>
                <w:rFonts w:ascii="Arial" w:hAnsi="Arial" w:cs="Arial"/>
                <w:sz w:val="14"/>
                <w:szCs w:val="14"/>
              </w:rPr>
              <w:t>4 000</w:t>
            </w:r>
          </w:p>
        </w:tc>
      </w:tr>
      <w:tr w:rsidR="009929B3" w:rsidTr="006D71A9">
        <w:trPr>
          <w:trHeight w:val="270"/>
        </w:trPr>
        <w:tc>
          <w:tcPr>
            <w:tcW w:w="1118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rPr>
                <w:rFonts w:ascii="Arial" w:hAnsi="Arial" w:cs="Arial"/>
                <w:b/>
                <w:bCs/>
                <w:sz w:val="16"/>
                <w:szCs w:val="16"/>
              </w:rPr>
            </w:pPr>
            <w:r w:rsidRPr="00D76C37">
              <w:rPr>
                <w:rFonts w:ascii="Arial" w:hAnsi="Arial" w:cs="Arial"/>
                <w:b/>
                <w:bCs/>
                <w:sz w:val="16"/>
                <w:szCs w:val="16"/>
              </w:rPr>
              <w:t xml:space="preserve">Celkem 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32 763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35 189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38 484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42 398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41 832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44 397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49 218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40 252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42 974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42 809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43 331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56 592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61 084</w:t>
            </w:r>
          </w:p>
        </w:tc>
        <w:tc>
          <w:tcPr>
            <w:tcW w:w="538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61 439</w:t>
            </w:r>
          </w:p>
        </w:tc>
        <w:tc>
          <w:tcPr>
            <w:tcW w:w="5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2"/>
                <w:szCs w:val="12"/>
              </w:rPr>
            </w:pPr>
            <w:r w:rsidRPr="00D76C37">
              <w:rPr>
                <w:rFonts w:ascii="Arial" w:hAnsi="Arial" w:cs="Arial"/>
                <w:b/>
                <w:bCs/>
                <w:sz w:val="12"/>
                <w:szCs w:val="12"/>
              </w:rPr>
              <w:t>66 132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000000" w:fill="FFFF00"/>
            <w:noWrap/>
            <w:vAlign w:val="bottom"/>
            <w:hideMark/>
          </w:tcPr>
          <w:p w:rsidR="009929B3" w:rsidRPr="00D76C37" w:rsidRDefault="009929B3">
            <w:pPr>
              <w:jc w:val="right"/>
              <w:rPr>
                <w:rFonts w:ascii="Arial" w:hAnsi="Arial" w:cs="Arial"/>
                <w:b/>
                <w:bCs/>
                <w:sz w:val="14"/>
                <w:szCs w:val="14"/>
              </w:rPr>
            </w:pPr>
            <w:r w:rsidRPr="00D76C37">
              <w:rPr>
                <w:rFonts w:ascii="Arial" w:hAnsi="Arial" w:cs="Arial"/>
                <w:b/>
                <w:bCs/>
                <w:sz w:val="14"/>
                <w:szCs w:val="14"/>
              </w:rPr>
              <w:t>64 000</w:t>
            </w:r>
          </w:p>
        </w:tc>
      </w:tr>
    </w:tbl>
    <w:p w:rsidR="00CC023F" w:rsidRDefault="00CC023F" w:rsidP="00E606DB"/>
    <w:p w:rsidR="00D76C37" w:rsidRDefault="00D76C37" w:rsidP="00E606DB"/>
    <w:p w:rsidR="00D76C37" w:rsidRDefault="00D76C37" w:rsidP="00E606DB"/>
    <w:p w:rsidR="00D76C37" w:rsidRDefault="00D76C37" w:rsidP="00E606DB"/>
    <w:tbl>
      <w:tblPr>
        <w:tblW w:w="23117" w:type="dxa"/>
        <w:tblInd w:w="-214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284"/>
        <w:gridCol w:w="12675"/>
        <w:gridCol w:w="750"/>
        <w:gridCol w:w="585"/>
        <w:gridCol w:w="936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585"/>
        <w:gridCol w:w="736"/>
        <w:gridCol w:w="716"/>
      </w:tblGrid>
      <w:tr w:rsidR="00AE5081" w:rsidTr="001941F0">
        <w:trPr>
          <w:trHeight w:val="130"/>
        </w:trPr>
        <w:tc>
          <w:tcPr>
            <w:tcW w:w="1295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5081" w:rsidTr="001941F0">
        <w:trPr>
          <w:gridBefore w:val="1"/>
          <w:wBefore w:w="284" w:type="dxa"/>
          <w:trHeight w:val="255"/>
        </w:trPr>
        <w:tc>
          <w:tcPr>
            <w:tcW w:w="1267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1941F0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noProof/>
              </w:rPr>
              <w:drawing>
                <wp:inline distT="0" distB="0" distL="0" distR="0" wp14:anchorId="6347627E" wp14:editId="449A56F6">
                  <wp:extent cx="6019800" cy="5591175"/>
                  <wp:effectExtent l="0" t="0" r="38100" b="28575"/>
                  <wp:docPr id="1" name="Graf 1"/>
                  <wp:cNvGraphicFramePr/>
                  <a:graphic xmlns:a="http://schemas.openxmlformats.org/drawingml/2006/main">
                    <a:graphicData uri="http://schemas.openxmlformats.org/drawingml/2006/chart">
                      <c:chart xmlns:c="http://schemas.openxmlformats.org/drawingml/2006/chart" xmlns:r="http://schemas.openxmlformats.org/officeDocument/2006/relationships" r:id="rId8"/>
                    </a:graphicData>
                  </a:graphic>
                </wp:inline>
              </w:drawing>
            </w:r>
          </w:p>
        </w:tc>
        <w:tc>
          <w:tcPr>
            <w:tcW w:w="7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8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E5081" w:rsidRDefault="00AE5081">
            <w:pPr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990551" w:rsidRDefault="00990551" w:rsidP="00C120F0">
      <w:pPr>
        <w:rPr>
          <w:noProof/>
        </w:rPr>
      </w:pPr>
    </w:p>
    <w:p w:rsidR="00990551" w:rsidRDefault="00990551" w:rsidP="00C120F0">
      <w:pPr>
        <w:rPr>
          <w:noProof/>
        </w:rPr>
      </w:pPr>
    </w:p>
    <w:p w:rsidR="00990551" w:rsidRDefault="00990551" w:rsidP="00C120F0">
      <w:pPr>
        <w:rPr>
          <w:noProof/>
        </w:rPr>
      </w:pPr>
    </w:p>
    <w:p w:rsidR="00990551" w:rsidRDefault="00990551" w:rsidP="00C120F0">
      <w:pPr>
        <w:rPr>
          <w:noProof/>
        </w:rPr>
      </w:pPr>
    </w:p>
    <w:p w:rsidR="00990551" w:rsidRDefault="00D76C37" w:rsidP="00C120F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7F20E951" wp14:editId="22B935A3">
            <wp:extent cx="5895975" cy="4210050"/>
            <wp:effectExtent l="0" t="0" r="28575" b="38100"/>
            <wp:docPr id="9" name="Graf 9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  <w:r>
        <w:rPr>
          <w:noProof/>
        </w:rPr>
        <w:drawing>
          <wp:inline distT="0" distB="0" distL="0" distR="0" wp14:anchorId="2F5AEDB7" wp14:editId="131485A4">
            <wp:extent cx="5895975" cy="4981575"/>
            <wp:effectExtent l="0" t="0" r="28575" b="28575"/>
            <wp:docPr id="10" name="Graf 10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0"/>
              </a:graphicData>
            </a:graphic>
          </wp:inline>
        </w:drawing>
      </w:r>
    </w:p>
    <w:p w:rsidR="00EE6FCB" w:rsidRDefault="00EE6FCB" w:rsidP="00C120F0">
      <w:pPr>
        <w:rPr>
          <w:noProof/>
        </w:rPr>
      </w:pPr>
    </w:p>
    <w:p w:rsidR="00990551" w:rsidRDefault="00D76C37" w:rsidP="00C120F0">
      <w:pPr>
        <w:rPr>
          <w:noProof/>
        </w:rPr>
      </w:pPr>
      <w:r>
        <w:rPr>
          <w:noProof/>
        </w:rPr>
        <w:lastRenderedPageBreak/>
        <w:drawing>
          <wp:inline distT="0" distB="0" distL="0" distR="0" wp14:anchorId="483090CF" wp14:editId="73A3B129">
            <wp:extent cx="5838825" cy="2781300"/>
            <wp:effectExtent l="0" t="0" r="28575" b="38100"/>
            <wp:docPr id="11" name="Graf 1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90551" w:rsidRDefault="00990551" w:rsidP="00C120F0">
      <w:pPr>
        <w:rPr>
          <w:noProof/>
        </w:rPr>
      </w:pPr>
    </w:p>
    <w:p w:rsidR="00D76C37" w:rsidRDefault="00D76C37" w:rsidP="00C120F0">
      <w:pPr>
        <w:rPr>
          <w:noProof/>
        </w:rPr>
      </w:pPr>
      <w:r>
        <w:rPr>
          <w:noProof/>
        </w:rPr>
        <w:drawing>
          <wp:inline distT="0" distB="0" distL="0" distR="0" wp14:anchorId="07780A5A" wp14:editId="47BAC647">
            <wp:extent cx="5895975" cy="2990850"/>
            <wp:effectExtent l="0" t="0" r="28575" b="38100"/>
            <wp:docPr id="12" name="Graf 1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D76C37" w:rsidRDefault="00D76C37" w:rsidP="00C120F0">
      <w:pPr>
        <w:rPr>
          <w:noProof/>
        </w:rPr>
      </w:pPr>
    </w:p>
    <w:p w:rsidR="00990551" w:rsidRDefault="00D76C37" w:rsidP="00C120F0">
      <w:pPr>
        <w:rPr>
          <w:noProof/>
        </w:rPr>
      </w:pPr>
      <w:r>
        <w:rPr>
          <w:noProof/>
        </w:rPr>
        <w:drawing>
          <wp:inline distT="0" distB="0" distL="0" distR="0" wp14:anchorId="1A0E0CC7" wp14:editId="142F325C">
            <wp:extent cx="5895975" cy="2857500"/>
            <wp:effectExtent l="0" t="0" r="28575" b="38100"/>
            <wp:docPr id="13" name="Graf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90551" w:rsidRDefault="00990551" w:rsidP="00C120F0">
      <w:pPr>
        <w:rPr>
          <w:noProof/>
        </w:rPr>
      </w:pPr>
    </w:p>
    <w:p w:rsidR="00990551" w:rsidRDefault="00990551" w:rsidP="00C120F0"/>
    <w:p w:rsidR="00A16563" w:rsidRDefault="00A16563" w:rsidP="00C120F0"/>
    <w:sectPr w:rsidR="00A16563" w:rsidSect="00CC023F">
      <w:headerReference w:type="even" r:id="rId14"/>
      <w:headerReference w:type="default" r:id="rId15"/>
      <w:pgSz w:w="11906" w:h="16838" w:code="9"/>
      <w:pgMar w:top="964" w:right="1134" w:bottom="567" w:left="1134" w:header="284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806E1" w:rsidRDefault="00B806E1">
      <w:r>
        <w:separator/>
      </w:r>
    </w:p>
  </w:endnote>
  <w:endnote w:type="continuationSeparator" w:id="0">
    <w:p w:rsidR="00B806E1" w:rsidRDefault="00B806E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 CE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806E1" w:rsidRDefault="00B806E1">
      <w:r>
        <w:separator/>
      </w:r>
    </w:p>
  </w:footnote>
  <w:footnote w:type="continuationSeparator" w:id="0">
    <w:p w:rsidR="00B806E1" w:rsidRDefault="00B806E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B3" w:rsidRDefault="009929B3" w:rsidP="00223DD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:rsidR="009929B3" w:rsidRDefault="009929B3">
    <w:pPr>
      <w:pStyle w:val="Zhlav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929B3" w:rsidRDefault="009929B3" w:rsidP="00223DDA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 w:rsidR="00E94D6D">
      <w:rPr>
        <w:rStyle w:val="slostrnky"/>
        <w:noProof/>
      </w:rPr>
      <w:t>1</w:t>
    </w:r>
    <w:r>
      <w:rPr>
        <w:rStyle w:val="slostrnky"/>
      </w:rPr>
      <w:fldChar w:fldCharType="end"/>
    </w:r>
  </w:p>
  <w:p w:rsidR="009929B3" w:rsidRDefault="009929B3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F5750DA"/>
    <w:multiLevelType w:val="hybridMultilevel"/>
    <w:tmpl w:val="7550DA08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3D052A84"/>
    <w:multiLevelType w:val="hybridMultilevel"/>
    <w:tmpl w:val="1F4AA33C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1032D12"/>
    <w:multiLevelType w:val="hybridMultilevel"/>
    <w:tmpl w:val="16DC6BA4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9CE"/>
    <w:rsid w:val="000220A4"/>
    <w:rsid w:val="00023D6D"/>
    <w:rsid w:val="0004476E"/>
    <w:rsid w:val="00052339"/>
    <w:rsid w:val="00054D4A"/>
    <w:rsid w:val="000563BB"/>
    <w:rsid w:val="0006030C"/>
    <w:rsid w:val="00065C8E"/>
    <w:rsid w:val="00072F45"/>
    <w:rsid w:val="00087CC2"/>
    <w:rsid w:val="0009572D"/>
    <w:rsid w:val="000A1373"/>
    <w:rsid w:val="000D4D7E"/>
    <w:rsid w:val="000F7BA9"/>
    <w:rsid w:val="00116D59"/>
    <w:rsid w:val="001217C6"/>
    <w:rsid w:val="00122A12"/>
    <w:rsid w:val="00133D8F"/>
    <w:rsid w:val="00145996"/>
    <w:rsid w:val="00151B02"/>
    <w:rsid w:val="0016113D"/>
    <w:rsid w:val="0016222C"/>
    <w:rsid w:val="00165236"/>
    <w:rsid w:val="0017339C"/>
    <w:rsid w:val="00173CF7"/>
    <w:rsid w:val="00174362"/>
    <w:rsid w:val="001941F0"/>
    <w:rsid w:val="001A1C8C"/>
    <w:rsid w:val="001B1536"/>
    <w:rsid w:val="001B65CD"/>
    <w:rsid w:val="001C5A33"/>
    <w:rsid w:val="001C79CE"/>
    <w:rsid w:val="001E5936"/>
    <w:rsid w:val="001E7CDB"/>
    <w:rsid w:val="001F0F40"/>
    <w:rsid w:val="001F2119"/>
    <w:rsid w:val="001F4A62"/>
    <w:rsid w:val="001F649C"/>
    <w:rsid w:val="00220ED0"/>
    <w:rsid w:val="00223DDA"/>
    <w:rsid w:val="0023354D"/>
    <w:rsid w:val="00274ED9"/>
    <w:rsid w:val="00280A87"/>
    <w:rsid w:val="00286BE4"/>
    <w:rsid w:val="002A0085"/>
    <w:rsid w:val="002B31BA"/>
    <w:rsid w:val="002C6704"/>
    <w:rsid w:val="002F0258"/>
    <w:rsid w:val="002F4B43"/>
    <w:rsid w:val="00300010"/>
    <w:rsid w:val="00300F51"/>
    <w:rsid w:val="00301823"/>
    <w:rsid w:val="00303B3D"/>
    <w:rsid w:val="00327E1C"/>
    <w:rsid w:val="00330556"/>
    <w:rsid w:val="00333C77"/>
    <w:rsid w:val="003405D5"/>
    <w:rsid w:val="00362E28"/>
    <w:rsid w:val="00363779"/>
    <w:rsid w:val="0036778D"/>
    <w:rsid w:val="00382B69"/>
    <w:rsid w:val="0038575D"/>
    <w:rsid w:val="003A2240"/>
    <w:rsid w:val="003A7573"/>
    <w:rsid w:val="003B2E8A"/>
    <w:rsid w:val="003C4234"/>
    <w:rsid w:val="003D011B"/>
    <w:rsid w:val="003D217C"/>
    <w:rsid w:val="004101F3"/>
    <w:rsid w:val="0041071B"/>
    <w:rsid w:val="004167BA"/>
    <w:rsid w:val="00423E05"/>
    <w:rsid w:val="004703B5"/>
    <w:rsid w:val="0047500D"/>
    <w:rsid w:val="00476FCE"/>
    <w:rsid w:val="0049626D"/>
    <w:rsid w:val="004A06E5"/>
    <w:rsid w:val="004A3C91"/>
    <w:rsid w:val="004E1A12"/>
    <w:rsid w:val="0051019A"/>
    <w:rsid w:val="005110BE"/>
    <w:rsid w:val="00521D43"/>
    <w:rsid w:val="005321B3"/>
    <w:rsid w:val="00594975"/>
    <w:rsid w:val="005A7BD4"/>
    <w:rsid w:val="005B7541"/>
    <w:rsid w:val="005F0172"/>
    <w:rsid w:val="005F0381"/>
    <w:rsid w:val="006070F4"/>
    <w:rsid w:val="00612219"/>
    <w:rsid w:val="006266F3"/>
    <w:rsid w:val="006C4DF0"/>
    <w:rsid w:val="006C5328"/>
    <w:rsid w:val="006D45E3"/>
    <w:rsid w:val="006D71A9"/>
    <w:rsid w:val="00742899"/>
    <w:rsid w:val="0077677D"/>
    <w:rsid w:val="00782AF3"/>
    <w:rsid w:val="00784401"/>
    <w:rsid w:val="007D3DBE"/>
    <w:rsid w:val="007E72B8"/>
    <w:rsid w:val="00806D9E"/>
    <w:rsid w:val="008143D9"/>
    <w:rsid w:val="00841E53"/>
    <w:rsid w:val="008524D4"/>
    <w:rsid w:val="00861F45"/>
    <w:rsid w:val="00864EF2"/>
    <w:rsid w:val="008707B3"/>
    <w:rsid w:val="00876183"/>
    <w:rsid w:val="00876324"/>
    <w:rsid w:val="00895DDA"/>
    <w:rsid w:val="008C230F"/>
    <w:rsid w:val="008C24DF"/>
    <w:rsid w:val="008D30C6"/>
    <w:rsid w:val="008E1C0D"/>
    <w:rsid w:val="0094085E"/>
    <w:rsid w:val="00970250"/>
    <w:rsid w:val="00974780"/>
    <w:rsid w:val="00977193"/>
    <w:rsid w:val="0098750E"/>
    <w:rsid w:val="00990551"/>
    <w:rsid w:val="009929B3"/>
    <w:rsid w:val="009E2187"/>
    <w:rsid w:val="00A0192A"/>
    <w:rsid w:val="00A16563"/>
    <w:rsid w:val="00A32B97"/>
    <w:rsid w:val="00A529BE"/>
    <w:rsid w:val="00A60943"/>
    <w:rsid w:val="00AB029B"/>
    <w:rsid w:val="00AE5081"/>
    <w:rsid w:val="00AE59F7"/>
    <w:rsid w:val="00AF27FD"/>
    <w:rsid w:val="00AF568D"/>
    <w:rsid w:val="00B15043"/>
    <w:rsid w:val="00B156A7"/>
    <w:rsid w:val="00B341C8"/>
    <w:rsid w:val="00B46576"/>
    <w:rsid w:val="00B63087"/>
    <w:rsid w:val="00B63FE4"/>
    <w:rsid w:val="00B806E1"/>
    <w:rsid w:val="00BA2025"/>
    <w:rsid w:val="00BC0DE6"/>
    <w:rsid w:val="00BC3D84"/>
    <w:rsid w:val="00BE3370"/>
    <w:rsid w:val="00C04229"/>
    <w:rsid w:val="00C120F0"/>
    <w:rsid w:val="00C17557"/>
    <w:rsid w:val="00C2176F"/>
    <w:rsid w:val="00C22928"/>
    <w:rsid w:val="00C22E61"/>
    <w:rsid w:val="00C43EA8"/>
    <w:rsid w:val="00CC023F"/>
    <w:rsid w:val="00CD0DE0"/>
    <w:rsid w:val="00D13021"/>
    <w:rsid w:val="00D2352A"/>
    <w:rsid w:val="00D356C1"/>
    <w:rsid w:val="00D466CE"/>
    <w:rsid w:val="00D76C37"/>
    <w:rsid w:val="00D90E9F"/>
    <w:rsid w:val="00DC64C9"/>
    <w:rsid w:val="00DD5BF1"/>
    <w:rsid w:val="00DF264B"/>
    <w:rsid w:val="00DF3FCE"/>
    <w:rsid w:val="00E01112"/>
    <w:rsid w:val="00E13EDB"/>
    <w:rsid w:val="00E17ABC"/>
    <w:rsid w:val="00E34EE8"/>
    <w:rsid w:val="00E42DB9"/>
    <w:rsid w:val="00E606DB"/>
    <w:rsid w:val="00E72547"/>
    <w:rsid w:val="00E8295B"/>
    <w:rsid w:val="00E8619B"/>
    <w:rsid w:val="00E87FEE"/>
    <w:rsid w:val="00E92C03"/>
    <w:rsid w:val="00E94D6D"/>
    <w:rsid w:val="00EA1552"/>
    <w:rsid w:val="00EC4072"/>
    <w:rsid w:val="00ED1671"/>
    <w:rsid w:val="00ED5D19"/>
    <w:rsid w:val="00EE0B45"/>
    <w:rsid w:val="00EE6FCB"/>
    <w:rsid w:val="00F04BF1"/>
    <w:rsid w:val="00F16C98"/>
    <w:rsid w:val="00F2190E"/>
    <w:rsid w:val="00F5531F"/>
    <w:rsid w:val="00F61C41"/>
    <w:rsid w:val="00F7750F"/>
    <w:rsid w:val="00F92889"/>
    <w:rsid w:val="00FB4246"/>
    <w:rsid w:val="00FB5DDB"/>
    <w:rsid w:val="00FB6F74"/>
    <w:rsid w:val="00FD3B90"/>
    <w:rsid w:val="00FE390E"/>
    <w:rsid w:val="00FF28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79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C79CE"/>
    <w:pPr>
      <w:ind w:firstLine="360"/>
    </w:pPr>
    <w:rPr>
      <w:i/>
      <w:sz w:val="20"/>
      <w:szCs w:val="20"/>
    </w:rPr>
  </w:style>
  <w:style w:type="paragraph" w:styleId="Zhlav">
    <w:name w:val="header"/>
    <w:basedOn w:val="Normln"/>
    <w:rsid w:val="0038575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575D"/>
  </w:style>
  <w:style w:type="paragraph" w:styleId="Textbubliny">
    <w:name w:val="Balloon Text"/>
    <w:basedOn w:val="Normln"/>
    <w:link w:val="TextbublinyChar"/>
    <w:rsid w:val="00AB0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B029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">
    <w:name w:val="Normal"/>
    <w:qFormat/>
    <w:rsid w:val="001C79CE"/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rsid w:val="001C79CE"/>
    <w:pPr>
      <w:ind w:firstLine="360"/>
    </w:pPr>
    <w:rPr>
      <w:i/>
      <w:sz w:val="20"/>
      <w:szCs w:val="20"/>
    </w:rPr>
  </w:style>
  <w:style w:type="paragraph" w:styleId="Zhlav">
    <w:name w:val="header"/>
    <w:basedOn w:val="Normln"/>
    <w:rsid w:val="0038575D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8575D"/>
  </w:style>
  <w:style w:type="paragraph" w:styleId="Textbubliny">
    <w:name w:val="Balloon Text"/>
    <w:basedOn w:val="Normln"/>
    <w:link w:val="TextbublinyChar"/>
    <w:rsid w:val="00AB029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AB029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56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8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3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66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40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97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02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6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99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2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559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16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161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8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7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2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76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4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27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032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1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42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04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7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36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8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216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6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5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0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81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44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1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4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54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979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9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7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22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6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6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9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6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4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6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147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9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4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60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0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63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1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57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44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9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89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8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0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16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56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86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57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4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03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80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16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4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07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31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5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4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13" Type="http://schemas.openxmlformats.org/officeDocument/2006/relationships/chart" Target="charts/chart6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chart" Target="charts/chart5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chart" Target="charts/chart4.xml"/><Relationship Id="rId5" Type="http://schemas.openxmlformats.org/officeDocument/2006/relationships/webSettings" Target="webSettings.xml"/><Relationship Id="rId15" Type="http://schemas.openxmlformats.org/officeDocument/2006/relationships/header" Target="header2.xml"/><Relationship Id="rId10" Type="http://schemas.openxmlformats.org/officeDocument/2006/relationships/chart" Target="charts/chart3.xml"/><Relationship Id="rId4" Type="http://schemas.openxmlformats.org/officeDocument/2006/relationships/settings" Target="settings.xml"/><Relationship Id="rId9" Type="http://schemas.openxmlformats.org/officeDocument/2006/relationships/chart" Target="charts/chart2.xml"/><Relationship Id="rId14" Type="http://schemas.openxmlformats.org/officeDocument/2006/relationships/header" Target="header1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7\Rozpo&#269;et%202017\Rozbor%20p&#345;&#237;jm&#367;%202017.xls" TargetMode="External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chartUserShapes" Target="../drawings/drawing1.xml"/><Relationship Id="rId1" Type="http://schemas.openxmlformats.org/officeDocument/2006/relationships/oleObject" Target="file:///C:\Users\Kyn&#269;lov&#225;\Documents\Rok%202016\Finance\Pln&#283;n&#237;%20da&#328;ov&#253;ch%20p&#345;&#237;jm&#367;%202013,2014,2015,2016.xls" TargetMode="External"/></Relationships>
</file>

<file path=word/charts/_rels/chart3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6\Finance\Pln&#283;n&#237;%20da&#328;ov&#253;ch%20p&#345;&#237;jm&#367;%202013,2014,2015,2016.xls" TargetMode="External"/></Relationships>
</file>

<file path=word/charts/_rels/chart4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6\Finance\Pln&#283;n&#237;%20da&#328;ov&#253;ch%20p&#345;&#237;jm&#367;%202013,2014,2015,2016.xls" TargetMode="External"/></Relationships>
</file>

<file path=word/charts/_rels/chart5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6\Finance\Pln&#283;n&#237;%20da&#328;ov&#253;ch%20p&#345;&#237;jm&#367;%202013,2014,2015,2016.xls" TargetMode="External"/></Relationships>
</file>

<file path=word/charts/_rels/chart6.xml.rels><?xml version="1.0" encoding="UTF-8" standalone="yes"?>
<Relationships xmlns="http://schemas.openxmlformats.org/package/2006/relationships"><Relationship Id="rId1" Type="http://schemas.openxmlformats.org/officeDocument/2006/relationships/oleObject" Target="file:///C:\Users\Kyn&#269;lov&#225;\Documents\Rok%202016\Finance\Pln&#283;n&#237;%20da&#328;ov&#253;ch%20p&#345;&#237;jm&#367;%202013,2014,2015,2016.xls" TargetMode="Externa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450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r>
              <a:rPr lang="cs-CZ"/>
              <a:t>Příjmy ze sdílených a výlučných daní 
 v letech 2002-2017</a:t>
            </a:r>
          </a:p>
        </c:rich>
      </c:tx>
      <c:layout>
        <c:manualLayout>
          <c:xMode val="edge"/>
          <c:yMode val="edge"/>
          <c:x val="0.2302262612430363"/>
          <c:y val="1.5384574390130168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8.6573368052313623E-2"/>
          <c:y val="0.13811458846831964"/>
          <c:w val="0.87853228522836835"/>
          <c:h val="0.75042860314603888"/>
        </c:manualLayout>
      </c:layout>
      <c:lineChart>
        <c:grouping val="stacked"/>
        <c:varyColors val="0"/>
        <c:ser>
          <c:idx val="0"/>
          <c:order val="0"/>
          <c:tx>
            <c:strRef>
              <c:f>'příjem z daní'!$AA$35</c:f>
              <c:strCache>
                <c:ptCount val="1"/>
              </c:strCache>
            </c:strRef>
          </c:tx>
          <c:spPr>
            <a:ln w="12700">
              <a:solidFill>
                <a:srgbClr val="00008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80"/>
              </a:solidFill>
              <a:ln>
                <a:solidFill>
                  <a:srgbClr val="000080"/>
                </a:solidFill>
                <a:prstDash val="solid"/>
              </a:ln>
            </c:spPr>
          </c:marker>
          <c:dLbls>
            <c:dLbl>
              <c:idx val="0"/>
              <c:layout>
                <c:manualLayout>
                  <c:x val="-3.6817333816335659E-2"/>
                  <c:y val="-5.7080287450280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"/>
              <c:layout>
                <c:manualLayout>
                  <c:x val="-5.0188472203686385E-2"/>
                  <c:y val="-3.441469816272965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-3.8135589770230634E-2"/>
                  <c:y val="-6.152436756845856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-4.3032085870653727E-2"/>
                  <c:y val="-6.373926154341215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4.0866277050859295E-2"/>
                  <c:y val="-5.604484465972066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4.1525479171081271E-2"/>
                  <c:y val="-5.8435081709420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-4.3596964331488006E-2"/>
                  <c:y val="-6.72211376089986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4.7081029105177363E-2"/>
                  <c:y val="-5.74193118655769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8"/>
              <c:layout>
                <c:manualLayout>
                  <c:x val="-5.4766769660121596E-2"/>
                  <c:y val="-3.680943629916788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-3.4292833648958437E-2"/>
                  <c:y val="-3.0001207259654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918934183859929E-2"/>
                  <c:y val="-5.776817931830071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4.6892678359499819E-2"/>
                  <c:y val="3.5422012197143617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2"/>
              <c:layout>
                <c:manualLayout>
                  <c:x val="-6.4501056400526266E-2"/>
                  <c:y val="-4.526489101202500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3"/>
              <c:layout>
                <c:manualLayout>
                  <c:x val="-4.8210934313394849E-2"/>
                  <c:y val="-4.8508175055281891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4"/>
              <c:layout>
                <c:manualLayout>
                  <c:x val="-4.0553013877217915E-2"/>
                  <c:y val="-3.7896354326267589E-2"/>
                </c:manualLayout>
              </c:layout>
              <c:spPr>
                <a:solidFill>
                  <a:srgbClr val="FFFFFF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 algn="ctr" rtl="0">
                    <a:defRPr lang="en-US" sz="900" b="1" i="0" u="none" strike="noStrike" kern="1200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5"/>
              <c:layout>
                <c:manualLayout>
                  <c:x val="-2.7970495782888929E-2"/>
                  <c:y val="-3.4188061517691E-2"/>
                </c:manualLayout>
              </c:layout>
              <c:spPr>
                <a:solidFill>
                  <a:srgbClr val="FFFF00"/>
                </a:solidFill>
                <a:ln w="3175">
                  <a:solidFill>
                    <a:srgbClr val="000000"/>
                  </a:solidFill>
                  <a:prstDash val="solid"/>
                </a:ln>
                <a:effectLst>
                  <a:outerShdw dist="35921" dir="2700000" algn="br">
                    <a:srgbClr val="000000"/>
                  </a:outerShdw>
                </a:effectLst>
              </c:spPr>
              <c:txPr>
                <a:bodyPr/>
                <a:lstStyle/>
                <a:p>
                  <a:pPr>
                    <a:defRPr sz="900" b="1" i="0" u="none" strike="noStrike" baseline="0">
                      <a:solidFill>
                        <a:srgbClr val="000000"/>
                      </a:solidFill>
                      <a:latin typeface="Arial CE"/>
                      <a:ea typeface="Arial CE"/>
                      <a:cs typeface="Arial CE"/>
                    </a:defRPr>
                  </a:pPr>
                  <a:endParaRPr lang="cs-CZ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6"/>
              <c:layout>
                <c:manualLayout>
                  <c:x val="-1.8106995884773661E-2"/>
                  <c:y val="3.646723646723646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solidFill>
                <a:srgbClr val="FFFFFF"/>
              </a:solidFill>
              <a:ln w="3175">
                <a:solidFill>
                  <a:srgbClr val="000000"/>
                </a:solidFill>
                <a:prstDash val="solid"/>
              </a:ln>
              <a:effectLst>
                <a:outerShdw dist="35921" dir="2700000" algn="br">
                  <a:srgbClr val="000000"/>
                </a:outerShdw>
              </a:effectLst>
            </c:spPr>
            <c:txPr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'příjem z daní'!$C$3:$T$3</c:f>
              <c:strCache>
                <c:ptCount val="16"/>
                <c:pt idx="0">
                  <c:v>2002</c:v>
                </c:pt>
                <c:pt idx="1">
                  <c:v>2003</c:v>
                </c:pt>
                <c:pt idx="2">
                  <c:v>2004</c:v>
                </c:pt>
                <c:pt idx="3">
                  <c:v>2005</c:v>
                </c:pt>
                <c:pt idx="4">
                  <c:v>2006</c:v>
                </c:pt>
                <c:pt idx="5">
                  <c:v>2007</c:v>
                </c:pt>
                <c:pt idx="6">
                  <c:v>2008</c:v>
                </c:pt>
                <c:pt idx="7">
                  <c:v>2009</c:v>
                </c:pt>
                <c:pt idx="8">
                  <c:v>2010</c:v>
                </c:pt>
                <c:pt idx="9">
                  <c:v>2011</c:v>
                </c:pt>
                <c:pt idx="10">
                  <c:v>2012</c:v>
                </c:pt>
                <c:pt idx="11">
                  <c:v>2013</c:v>
                </c:pt>
                <c:pt idx="12">
                  <c:v>2014</c:v>
                </c:pt>
                <c:pt idx="13">
                  <c:v>2015</c:v>
                </c:pt>
                <c:pt idx="14">
                  <c:v>2016</c:v>
                </c:pt>
                <c:pt idx="15">
                  <c:v>R2017</c:v>
                </c:pt>
              </c:strCache>
            </c:strRef>
          </c:cat>
          <c:val>
            <c:numRef>
              <c:f>'příjem z daní'!$C$10:$T$10</c:f>
              <c:numCache>
                <c:formatCode>#,##0</c:formatCode>
                <c:ptCount val="16"/>
                <c:pt idx="0">
                  <c:v>32762.936000000002</c:v>
                </c:pt>
                <c:pt idx="1">
                  <c:v>35189</c:v>
                </c:pt>
                <c:pt idx="2">
                  <c:v>38484</c:v>
                </c:pt>
                <c:pt idx="3">
                  <c:v>42398.241999999998</c:v>
                </c:pt>
                <c:pt idx="4">
                  <c:v>41832</c:v>
                </c:pt>
                <c:pt idx="5">
                  <c:v>44396.766989999996</c:v>
                </c:pt>
                <c:pt idx="6">
                  <c:v>49218</c:v>
                </c:pt>
                <c:pt idx="7">
                  <c:v>40252</c:v>
                </c:pt>
                <c:pt idx="8">
                  <c:v>42974</c:v>
                </c:pt>
                <c:pt idx="9">
                  <c:v>42809</c:v>
                </c:pt>
                <c:pt idx="10">
                  <c:v>43330.958019999998</c:v>
                </c:pt>
                <c:pt idx="11">
                  <c:v>56592</c:v>
                </c:pt>
                <c:pt idx="12">
                  <c:v>61084</c:v>
                </c:pt>
                <c:pt idx="13">
                  <c:v>61439</c:v>
                </c:pt>
                <c:pt idx="14">
                  <c:v>66132</c:v>
                </c:pt>
                <c:pt idx="15">
                  <c:v>64000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015488"/>
        <c:axId val="74017408"/>
      </c:lineChart>
      <c:catAx>
        <c:axId val="74015488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145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/>
                  <a:t>rok</a:t>
                </a:r>
              </a:p>
            </c:rich>
          </c:tx>
          <c:layout>
            <c:manualLayout>
              <c:xMode val="edge"/>
              <c:yMode val="edge"/>
              <c:x val="0.51271261052842709"/>
              <c:y val="0.9367536672129182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4017408"/>
        <c:crosses val="autoZero"/>
        <c:auto val="1"/>
        <c:lblAlgn val="ctr"/>
        <c:lblOffset val="100"/>
        <c:tickLblSkip val="1"/>
        <c:tickMarkSkip val="1"/>
        <c:noMultiLvlLbl val="0"/>
      </c:catAx>
      <c:valAx>
        <c:axId val="74017408"/>
        <c:scaling>
          <c:orientation val="minMax"/>
          <c:max val="68000"/>
          <c:min val="3000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 CE"/>
                    <a:ea typeface="Arial CE"/>
                    <a:cs typeface="Arial CE"/>
                  </a:defRPr>
                </a:pPr>
                <a:r>
                  <a:rPr lang="cs-CZ" sz="900"/>
                  <a:t>tis. Kč</a:t>
                </a:r>
              </a:p>
            </c:rich>
          </c:tx>
          <c:layout>
            <c:manualLayout>
              <c:xMode val="edge"/>
              <c:yMode val="edge"/>
              <c:x val="5.5837249592812756E-2"/>
              <c:y val="4.3499384911911389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975" b="1" i="0" u="none" strike="noStrike" baseline="0">
                <a:solidFill>
                  <a:srgbClr val="000000"/>
                </a:solidFill>
                <a:latin typeface="Arial CE"/>
                <a:ea typeface="Arial CE"/>
                <a:cs typeface="Arial CE"/>
              </a:defRPr>
            </a:pPr>
            <a:endParaRPr lang="cs-CZ"/>
          </a:p>
        </c:txPr>
        <c:crossAx val="74015488"/>
        <c:crosses val="autoZero"/>
        <c:crossBetween val="between"/>
        <c:majorUnit val="5000"/>
        <c:minorUnit val="400"/>
      </c:valAx>
      <c:spPr>
        <a:solidFill>
          <a:srgbClr val="CCFFCC"/>
        </a:solidFill>
        <a:ln w="3175">
          <a:solidFill>
            <a:srgbClr val="000000"/>
          </a:solidFill>
          <a:prstDash val="solid"/>
        </a:ln>
      </c:spPr>
    </c:plotArea>
    <c:plotVisOnly val="1"/>
    <c:dispBlanksAs val="zero"/>
    <c:showDLblsOverMax val="0"/>
  </c:chart>
  <c:spPr>
    <a:solidFill>
      <a:srgbClr val="CC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450" b="0" i="0" u="none" strike="noStrike" baseline="0">
          <a:solidFill>
            <a:srgbClr val="000000"/>
          </a:solidFill>
          <a:latin typeface="Arial CE"/>
          <a:ea typeface="Arial CE"/>
          <a:cs typeface="Arial CE"/>
        </a:defRPr>
      </a:pPr>
      <a:endParaRPr lang="cs-CZ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Daňové příjmy v roce 2016</a:t>
            </a:r>
          </a:p>
        </c:rich>
      </c:tx>
      <c:overlay val="0"/>
    </c:title>
    <c:autoTitleDeleted val="0"/>
    <c:plotArea>
      <c:layout>
        <c:manualLayout>
          <c:layoutTarget val="inner"/>
          <c:xMode val="edge"/>
          <c:yMode val="edge"/>
          <c:x val="9.821996007405151E-2"/>
          <c:y val="8.5218702865761692E-2"/>
          <c:w val="0.79926478919340826"/>
          <c:h val="0.80467666654790326"/>
        </c:manualLayout>
      </c:layout>
      <c:barChart>
        <c:barDir val="col"/>
        <c:grouping val="clustered"/>
        <c:varyColors val="0"/>
        <c:ser>
          <c:idx val="1"/>
          <c:order val="0"/>
          <c:tx>
            <c:v>Rozpočet 2015</c:v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'2016'!$B$96:$M$96</c:f>
              <c:numCache>
                <c:formatCode>#,##0</c:formatCode>
                <c:ptCount val="12"/>
                <c:pt idx="0">
                  <c:v>5000</c:v>
                </c:pt>
                <c:pt idx="1">
                  <c:v>10000</c:v>
                </c:pt>
                <c:pt idx="2">
                  <c:v>15000</c:v>
                </c:pt>
                <c:pt idx="3">
                  <c:v>20000</c:v>
                </c:pt>
                <c:pt idx="4">
                  <c:v>25000.000000000004</c:v>
                </c:pt>
                <c:pt idx="5">
                  <c:v>30000</c:v>
                </c:pt>
                <c:pt idx="6">
                  <c:v>35000</c:v>
                </c:pt>
                <c:pt idx="7">
                  <c:v>40000</c:v>
                </c:pt>
                <c:pt idx="8">
                  <c:v>45000</c:v>
                </c:pt>
                <c:pt idx="9">
                  <c:v>50000</c:v>
                </c:pt>
                <c:pt idx="10">
                  <c:v>54999.999999999993</c:v>
                </c:pt>
                <c:pt idx="11">
                  <c:v>60000</c:v>
                </c:pt>
              </c:numCache>
            </c:numRef>
          </c:val>
        </c:ser>
        <c:ser>
          <c:idx val="0"/>
          <c:order val="1"/>
          <c:tx>
            <c:v>Plnění</c:v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'2016'!$B$105:$M$105</c:f>
              <c:numCache>
                <c:formatCode>#,##0</c:formatCode>
                <c:ptCount val="12"/>
                <c:pt idx="0">
                  <c:v>4550.5299100000002</c:v>
                </c:pt>
                <c:pt idx="1">
                  <c:v>9380.85563</c:v>
                </c:pt>
                <c:pt idx="2">
                  <c:v>14139.399659999999</c:v>
                </c:pt>
                <c:pt idx="3">
                  <c:v>18153.989600000001</c:v>
                </c:pt>
                <c:pt idx="4">
                  <c:v>22163.661200000002</c:v>
                </c:pt>
                <c:pt idx="5">
                  <c:v>30712.082739999998</c:v>
                </c:pt>
                <c:pt idx="6">
                  <c:v>37719.945190000006</c:v>
                </c:pt>
                <c:pt idx="7">
                  <c:v>42431.816769999998</c:v>
                </c:pt>
                <c:pt idx="8">
                  <c:v>47966.313629999997</c:v>
                </c:pt>
                <c:pt idx="9">
                  <c:v>52614.873090000001</c:v>
                </c:pt>
                <c:pt idx="10">
                  <c:v>57446.46819</c:v>
                </c:pt>
                <c:pt idx="11">
                  <c:v>66132.434330000004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axId val="74069888"/>
        <c:axId val="74071424"/>
      </c:barChart>
      <c:lineChart>
        <c:grouping val="standard"/>
        <c:varyColors val="0"/>
        <c:ser>
          <c:idx val="2"/>
          <c:order val="2"/>
          <c:tx>
            <c:v>Rozdíl</c:v>
          </c:tx>
          <c:spPr>
            <a:ln w="12700">
              <a:solidFill>
                <a:srgbClr val="000000"/>
              </a:solidFill>
              <a:prstDash val="solid"/>
            </a:ln>
          </c:spPr>
          <c:marker>
            <c:symbol val="triangle"/>
            <c:size val="5"/>
            <c:spPr>
              <a:solidFill>
                <a:srgbClr val="000000"/>
              </a:solidFill>
              <a:ln>
                <a:solidFill>
                  <a:srgbClr val="FFFF00"/>
                </a:solidFill>
                <a:prstDash val="solid"/>
              </a:ln>
            </c:spPr>
          </c:marker>
          <c:dLbls>
            <c:dLbl>
              <c:idx val="9"/>
              <c:layout>
                <c:manualLayout>
                  <c:x val="-4.5457384125326877E-2"/>
                  <c:y val="-2.8363321100699543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3.8090901620722824E-2"/>
                  <c:y val="-3.741309485635564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-9.1283092375883959E-2"/>
                  <c:y val="-1.629695609315805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#,##0_ ;[Red]\-#,##0\ 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endParaRPr lang="cs-CZ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'2016'!$B$106:$M$106</c:f>
              <c:numCache>
                <c:formatCode>#,##0</c:formatCode>
                <c:ptCount val="12"/>
                <c:pt idx="0">
                  <c:v>-449.4700899999998</c:v>
                </c:pt>
                <c:pt idx="1">
                  <c:v>-619.14436999999998</c:v>
                </c:pt>
                <c:pt idx="2">
                  <c:v>-860.60034000000087</c:v>
                </c:pt>
                <c:pt idx="3">
                  <c:v>-1846.0103999999992</c:v>
                </c:pt>
                <c:pt idx="4">
                  <c:v>-2836.3388000000014</c:v>
                </c:pt>
                <c:pt idx="5">
                  <c:v>712.08273999999801</c:v>
                </c:pt>
                <c:pt idx="6">
                  <c:v>2719.9451900000058</c:v>
                </c:pt>
                <c:pt idx="7">
                  <c:v>2431.8167699999976</c:v>
                </c:pt>
                <c:pt idx="8">
                  <c:v>2966.3136299999969</c:v>
                </c:pt>
                <c:pt idx="9">
                  <c:v>2614.873090000001</c:v>
                </c:pt>
                <c:pt idx="10">
                  <c:v>2446.4681900000069</c:v>
                </c:pt>
                <c:pt idx="11">
                  <c:v>6132.4343300000037</c:v>
                </c:pt>
              </c:numCache>
            </c:numRef>
          </c:val>
          <c:smooth val="0"/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74081408"/>
        <c:axId val="74082944"/>
      </c:lineChart>
      <c:catAx>
        <c:axId val="74069888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74071424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071424"/>
        <c:scaling>
          <c:orientation val="minMax"/>
          <c:max val="70000"/>
          <c:min val="0"/>
        </c:scaling>
        <c:delete val="0"/>
        <c:axPos val="l"/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74069888"/>
        <c:crosses val="autoZero"/>
        <c:crossBetween val="between"/>
      </c:valAx>
      <c:catAx>
        <c:axId val="74081408"/>
        <c:scaling>
          <c:orientation val="minMax"/>
        </c:scaling>
        <c:delete val="1"/>
        <c:axPos val="b"/>
        <c:majorTickMark val="out"/>
        <c:minorTickMark val="none"/>
        <c:tickLblPos val="nextTo"/>
        <c:crossAx val="74082944"/>
        <c:crosses val="autoZero"/>
        <c:auto val="0"/>
        <c:lblAlgn val="ctr"/>
        <c:lblOffset val="100"/>
        <c:noMultiLvlLbl val="0"/>
      </c:catAx>
      <c:valAx>
        <c:axId val="74082944"/>
        <c:scaling>
          <c:orientation val="minMax"/>
          <c:max val="8000"/>
          <c:min val="-18000"/>
        </c:scaling>
        <c:delete val="0"/>
        <c:axPos val="r"/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endParaRPr lang="cs-CZ"/>
          </a:p>
        </c:txPr>
        <c:crossAx val="74081408"/>
        <c:crosses val="max"/>
        <c:crossBetween val="between"/>
        <c:majorUnit val="2000"/>
      </c:valAx>
      <c:spPr>
        <a:solidFill>
          <a:srgbClr val="FFFFC0"/>
        </a:solidFill>
        <a:ln w="12700">
          <a:solidFill>
            <a:srgbClr val="808080"/>
          </a:solidFill>
          <a:prstDash val="solid"/>
        </a:ln>
      </c:spPr>
    </c:plotArea>
    <c:legend>
      <c:legendPos val="b"/>
      <c:layout>
        <c:manualLayout>
          <c:xMode val="edge"/>
          <c:yMode val="edge"/>
          <c:x val="0.27071861873619385"/>
          <c:y val="0.93966912506977351"/>
          <c:w val="0.44713814088156112"/>
          <c:h val="5.7880547736962717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735" b="0" i="0" u="none" strike="noStrike" baseline="0">
              <a:solidFill>
                <a:srgbClr val="000000"/>
              </a:solidFill>
              <a:latin typeface="Arial"/>
              <a:ea typeface="Arial"/>
              <a:cs typeface="Arial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000" b="0" i="0" u="none" strike="noStrike" baseline="0">
          <a:solidFill>
            <a:srgbClr val="000000"/>
          </a:solidFill>
          <a:latin typeface="Arial"/>
          <a:ea typeface="Arial"/>
          <a:cs typeface="Arial"/>
        </a:defRPr>
      </a:pPr>
      <a:endParaRPr lang="cs-CZ"/>
    </a:p>
  </c:txPr>
  <c:externalData r:id="rId1">
    <c:autoUpdate val="0"/>
  </c:externalData>
  <c:userShapes r:id="rId2"/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Plnění rozpočtu jednotlivých daní k 31.12.2016
</a:t>
            </a:r>
          </a:p>
        </c:rich>
      </c:tx>
      <c:layout>
        <c:manualLayout>
          <c:xMode val="edge"/>
          <c:yMode val="edge"/>
          <c:x val="0.1749543461763412"/>
          <c:y val="1.8726591760299626E-3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9.2081159208862798E-2"/>
          <c:y val="0.10744626584081909"/>
          <c:w val="0.89318761004332492"/>
          <c:h val="0.82209888170587864"/>
        </c:manualLayout>
      </c:layout>
      <c:barChart>
        <c:barDir val="col"/>
        <c:grouping val="clustered"/>
        <c:varyColors val="0"/>
        <c:ser>
          <c:idx val="0"/>
          <c:order val="0"/>
          <c:tx>
            <c:v>Rozpočet</c:v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0"/>
              <c:layout>
                <c:manualLayout>
                  <c:x val="-9.1058309674488698E-3"/>
                  <c:y val="-8.4276545917362641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-1.5244751864580464E-2"/>
                  <c:y val="-2.2862170318597816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-7.571042569954999E-3"/>
                  <c:y val="-1.82979936496692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'2016'!$A$99:$A$104</c:f>
              <c:strCache>
                <c:ptCount val="6"/>
                <c:pt idx="0">
                  <c:v>závislá č.</c:v>
                </c:pt>
                <c:pt idx="1">
                  <c:v>FO z přiznání</c:v>
                </c:pt>
                <c:pt idx="2">
                  <c:v>srážková</c:v>
                </c:pt>
                <c:pt idx="3">
                  <c:v>právnické o.</c:v>
                </c:pt>
                <c:pt idx="4">
                  <c:v>DPH</c:v>
                </c:pt>
                <c:pt idx="5">
                  <c:v>nemovitost</c:v>
                </c:pt>
              </c:strCache>
            </c:strRef>
          </c:cat>
          <c:val>
            <c:numRef>
              <c:f>'2016'!$M$90:$M$95</c:f>
              <c:numCache>
                <c:formatCode>#,##0</c:formatCode>
                <c:ptCount val="6"/>
                <c:pt idx="0">
                  <c:v>14100</c:v>
                </c:pt>
                <c:pt idx="1">
                  <c:v>1050</c:v>
                </c:pt>
                <c:pt idx="2">
                  <c:v>1350</c:v>
                </c:pt>
                <c:pt idx="3">
                  <c:v>12499.999999999998</c:v>
                </c:pt>
                <c:pt idx="4">
                  <c:v>27000</c:v>
                </c:pt>
                <c:pt idx="5">
                  <c:v>4000.0000000000005</c:v>
                </c:pt>
              </c:numCache>
            </c:numRef>
          </c:val>
        </c:ser>
        <c:ser>
          <c:idx val="1"/>
          <c:order val="1"/>
          <c:tx>
            <c:v>Plnění </c:v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7.878082214614902E-3"/>
                  <c:y val="-3.945483336488695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8.4918990277310195E-3"/>
                  <c:y val="-8.335236425617709E-4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6.9571690279046612E-3"/>
                  <c:y val="-2.222536789642867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2.4554941682013503E-3"/>
                  <c:y val="-9.987515605493225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spPr>
              <a:noFill/>
              <a:ln w="25400">
                <a:noFill/>
              </a:ln>
            </c:spPr>
            <c:txPr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cat>
            <c:strRef>
              <c:f>'2016'!$A$99:$A$104</c:f>
              <c:strCache>
                <c:ptCount val="6"/>
                <c:pt idx="0">
                  <c:v>závislá č.</c:v>
                </c:pt>
                <c:pt idx="1">
                  <c:v>FO z přiznání</c:v>
                </c:pt>
                <c:pt idx="2">
                  <c:v>srážková</c:v>
                </c:pt>
                <c:pt idx="3">
                  <c:v>právnické o.</c:v>
                </c:pt>
                <c:pt idx="4">
                  <c:v>DPH</c:v>
                </c:pt>
                <c:pt idx="5">
                  <c:v>nemovitost</c:v>
                </c:pt>
              </c:strCache>
            </c:strRef>
          </c:cat>
          <c:val>
            <c:numRef>
              <c:f>'2016'!$M$99:$M$104</c:f>
              <c:numCache>
                <c:formatCode>#,##0</c:formatCode>
                <c:ptCount val="6"/>
                <c:pt idx="0">
                  <c:v>15511.524729999997</c:v>
                </c:pt>
                <c:pt idx="1">
                  <c:v>1364.56548</c:v>
                </c:pt>
                <c:pt idx="2">
                  <c:v>1494.3945600000002</c:v>
                </c:pt>
                <c:pt idx="3">
                  <c:v>15442.674630000001</c:v>
                </c:pt>
                <c:pt idx="4">
                  <c:v>28298.68116</c:v>
                </c:pt>
                <c:pt idx="5">
                  <c:v>4020.5937699999999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74937472"/>
        <c:axId val="74939008"/>
      </c:barChart>
      <c:catAx>
        <c:axId val="749374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10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7493900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74939008"/>
        <c:scaling>
          <c:orientation val="minMax"/>
          <c:min val="0"/>
        </c:scaling>
        <c:delete val="0"/>
        <c:axPos val="l"/>
        <c:majorGridlines>
          <c:spPr>
            <a:ln w="3175">
              <a:solidFill>
                <a:srgbClr val="000000"/>
              </a:solidFill>
              <a:prstDash val="solid"/>
            </a:ln>
          </c:spPr>
        </c:majorGridlines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 Kč</a:t>
                </a:r>
              </a:p>
            </c:rich>
          </c:tx>
          <c:layout>
            <c:manualLayout>
              <c:xMode val="edge"/>
              <c:yMode val="edge"/>
              <c:x val="3.3149171270718231E-2"/>
              <c:y val="1.8726591760299626E-2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  <a:effectLst>
            <a:outerShdw blurRad="50800" dist="50800" dir="5400000" sx="1000" sy="1000" algn="ctr" rotWithShape="0">
              <a:srgbClr val="000000"/>
            </a:outerShdw>
          </a:effectLst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74937472"/>
        <c:crosses val="autoZero"/>
        <c:crossBetween val="between"/>
        <c:majorUnit val="2000"/>
      </c:valAx>
      <c:spPr>
        <a:solidFill>
          <a:srgbClr val="FFFFC0"/>
        </a:solidFill>
        <a:ln w="12700">
          <a:solidFill>
            <a:srgbClr val="FFFFFF"/>
          </a:solidFill>
          <a:prstDash val="solid"/>
        </a:ln>
      </c:spPr>
    </c:plotArea>
    <c:legend>
      <c:legendPos val="t"/>
      <c:legendEntry>
        <c:idx val="0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825" b="0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ayout>
        <c:manualLayout>
          <c:xMode val="edge"/>
          <c:yMode val="edge"/>
          <c:x val="0.35607352948284782"/>
          <c:y val="0.17533083645443195"/>
          <c:w val="0.28048626518370284"/>
          <c:h val="6.1221308010655978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82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Daňové příjmy města v roce 2013,2014,2015,2016</a:t>
            </a:r>
          </a:p>
        </c:rich>
      </c:tx>
      <c:layout>
        <c:manualLayout>
          <c:xMode val="edge"/>
          <c:yMode val="edge"/>
          <c:x val="0.14854464047609023"/>
          <c:y val="4.7945205479452052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5686301815782741"/>
          <c:y val="0.11643855087246975"/>
          <c:w val="0.67558049865700665"/>
          <c:h val="0.72260394806150352"/>
        </c:manualLayout>
      </c:layout>
      <c:barChart>
        <c:barDir val="col"/>
        <c:grouping val="clustered"/>
        <c:varyColors val="0"/>
        <c:ser>
          <c:idx val="0"/>
          <c:order val="0"/>
          <c:tx>
            <c:v>rok 2013</c:v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'2016'!$B$77:$M$77</c:f>
              <c:numCache>
                <c:formatCode>#,##0</c:formatCode>
                <c:ptCount val="12"/>
                <c:pt idx="0">
                  <c:v>5043.4306999999999</c:v>
                </c:pt>
                <c:pt idx="1">
                  <c:v>10367.296699999999</c:v>
                </c:pt>
                <c:pt idx="2">
                  <c:v>14103.325699999999</c:v>
                </c:pt>
                <c:pt idx="3">
                  <c:v>17026.039700000001</c:v>
                </c:pt>
                <c:pt idx="4">
                  <c:v>20725.962700000004</c:v>
                </c:pt>
                <c:pt idx="5">
                  <c:v>27280.75056</c:v>
                </c:pt>
                <c:pt idx="6">
                  <c:v>33502.329439999994</c:v>
                </c:pt>
                <c:pt idx="7">
                  <c:v>37497.735440000004</c:v>
                </c:pt>
                <c:pt idx="8">
                  <c:v>41044.964939999998</c:v>
                </c:pt>
                <c:pt idx="9">
                  <c:v>45730.12444</c:v>
                </c:pt>
                <c:pt idx="10">
                  <c:v>49981.148440000004</c:v>
                </c:pt>
                <c:pt idx="11">
                  <c:v>56592.360440000004</c:v>
                </c:pt>
              </c:numCache>
            </c:numRef>
          </c:val>
        </c:ser>
        <c:ser>
          <c:idx val="3"/>
          <c:order val="1"/>
          <c:tx>
            <c:v>rok 2014</c:v>
          </c:tx>
          <c:spPr>
            <a:solidFill>
              <a:srgbClr val="00FF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'2016'!$B$58:$M$58</c:f>
              <c:numCache>
                <c:formatCode>#,##0</c:formatCode>
                <c:ptCount val="12"/>
                <c:pt idx="0">
                  <c:v>5266.7970800000003</c:v>
                </c:pt>
                <c:pt idx="1">
                  <c:v>10754.50008</c:v>
                </c:pt>
                <c:pt idx="2">
                  <c:v>14746.335080000001</c:v>
                </c:pt>
                <c:pt idx="3">
                  <c:v>18954.02608</c:v>
                </c:pt>
                <c:pt idx="4">
                  <c:v>22866.727079999997</c:v>
                </c:pt>
                <c:pt idx="5">
                  <c:v>29407.300079999997</c:v>
                </c:pt>
                <c:pt idx="6">
                  <c:v>36689.286279999993</c:v>
                </c:pt>
                <c:pt idx="7">
                  <c:v>41017.020279999997</c:v>
                </c:pt>
                <c:pt idx="8">
                  <c:v>45852.466250000005</c:v>
                </c:pt>
                <c:pt idx="9">
                  <c:v>49270.649250000002</c:v>
                </c:pt>
                <c:pt idx="10">
                  <c:v>53994.518249999994</c:v>
                </c:pt>
                <c:pt idx="11">
                  <c:v>61083.75258</c:v>
                </c:pt>
              </c:numCache>
            </c:numRef>
          </c:val>
        </c:ser>
        <c:ser>
          <c:idx val="1"/>
          <c:order val="2"/>
          <c:tx>
            <c:v>rok 2015</c:v>
          </c:tx>
          <c:spPr>
            <a:solidFill>
              <a:srgbClr val="FFFFC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'2016'!$B$30:$M$30</c:f>
              <c:numCache>
                <c:formatCode>#,##0</c:formatCode>
                <c:ptCount val="12"/>
                <c:pt idx="0">
                  <c:v>4181.7454499999994</c:v>
                </c:pt>
                <c:pt idx="1">
                  <c:v>9013.4332200000008</c:v>
                </c:pt>
                <c:pt idx="2">
                  <c:v>12492.890940000003</c:v>
                </c:pt>
                <c:pt idx="3">
                  <c:v>16898.649170000004</c:v>
                </c:pt>
                <c:pt idx="4">
                  <c:v>21023.708000000002</c:v>
                </c:pt>
                <c:pt idx="5">
                  <c:v>28707.228680000004</c:v>
                </c:pt>
                <c:pt idx="6">
                  <c:v>35319.824750000007</c:v>
                </c:pt>
                <c:pt idx="7">
                  <c:v>39907.852610000009</c:v>
                </c:pt>
                <c:pt idx="8">
                  <c:v>44973.266060000002</c:v>
                </c:pt>
                <c:pt idx="9">
                  <c:v>48646.086540000004</c:v>
                </c:pt>
                <c:pt idx="10">
                  <c:v>53516.131480000011</c:v>
                </c:pt>
                <c:pt idx="11">
                  <c:v>61438.608790000013</c:v>
                </c:pt>
              </c:numCache>
            </c:numRef>
          </c:val>
        </c:ser>
        <c:ser>
          <c:idx val="2"/>
          <c:order val="3"/>
          <c:tx>
            <c:v>rok 2016</c:v>
          </c:tx>
          <c:spPr>
            <a:solidFill>
              <a:srgbClr val="802060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'2016'!$B$11:$M$11</c:f>
              <c:numCache>
                <c:formatCode>#,##0</c:formatCode>
                <c:ptCount val="12"/>
                <c:pt idx="0">
                  <c:v>4550.5299100000002</c:v>
                </c:pt>
                <c:pt idx="1">
                  <c:v>9380.85563</c:v>
                </c:pt>
                <c:pt idx="2">
                  <c:v>14139.399659999999</c:v>
                </c:pt>
                <c:pt idx="3">
                  <c:v>18153.989600000001</c:v>
                </c:pt>
                <c:pt idx="4">
                  <c:v>22163.661200000002</c:v>
                </c:pt>
                <c:pt idx="5">
                  <c:v>30712.082739999998</c:v>
                </c:pt>
                <c:pt idx="6">
                  <c:v>37719.945190000006</c:v>
                </c:pt>
                <c:pt idx="7">
                  <c:v>42431.816769999998</c:v>
                </c:pt>
                <c:pt idx="8">
                  <c:v>47966.313629999997</c:v>
                </c:pt>
                <c:pt idx="9">
                  <c:v>52614.873090000001</c:v>
                </c:pt>
                <c:pt idx="10">
                  <c:v>57446.46819</c:v>
                </c:pt>
                <c:pt idx="11" formatCode="#,##0.0">
                  <c:v>66132.434330000004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2458112"/>
        <c:axId val="82460032"/>
      </c:barChart>
      <c:catAx>
        <c:axId val="82458112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měsíc</a:t>
                </a:r>
              </a:p>
            </c:rich>
          </c:tx>
          <c:layout>
            <c:manualLayout>
              <c:xMode val="edge"/>
              <c:yMode val="edge"/>
              <c:x val="0.49019701414328559"/>
              <c:y val="0.91096034228598133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2460032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2460032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 sz="8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tis.Kč</a:t>
                </a:r>
              </a:p>
            </c:rich>
          </c:tx>
          <c:layout>
            <c:manualLayout>
              <c:xMode val="edge"/>
              <c:yMode val="edge"/>
              <c:x val="3.7433155080213901E-2"/>
              <c:y val="0.4075349656635385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out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2458112"/>
        <c:crosses val="autoZero"/>
        <c:crossBetween val="between"/>
        <c:majorUnit val="10000"/>
        <c:minorUnit val="5000"/>
      </c:valAx>
      <c:spPr>
        <a:solidFill>
          <a:srgbClr val="CCFFCC"/>
        </a:solidFill>
        <a:ln w="12700">
          <a:solidFill>
            <a:srgbClr val="FFFFFF"/>
          </a:solidFill>
          <a:prstDash val="solid"/>
        </a:ln>
      </c:spPr>
    </c:plotArea>
    <c:legend>
      <c:legendPos val="r"/>
      <c:layout>
        <c:manualLayout>
          <c:xMode val="edge"/>
          <c:yMode val="edge"/>
          <c:x val="0.83184938781048079"/>
          <c:y val="0.11643907525257972"/>
          <c:w val="0.16577577535428389"/>
          <c:h val="0.2260277568043720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Rozdíly daňových příjmů  v roce 2016 proti roku 2015</a:t>
            </a:r>
          </a:p>
        </c:rich>
      </c:tx>
      <c:layout>
        <c:manualLayout>
          <c:xMode val="edge"/>
          <c:yMode val="edge"/>
          <c:x val="0.12432451348986781"/>
          <c:y val="1.879699248120300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027028918682462"/>
          <c:y val="0.14661654135338345"/>
          <c:w val="0.8180194573822096"/>
          <c:h val="0.69548872180451127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'2016'!$A$42</c:f>
              <c:strCache>
                <c:ptCount val="1"/>
                <c:pt idx="0">
                  <c:v>měsíční přebytek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'2016'!$B$42:$M$42</c:f>
              <c:numCache>
                <c:formatCode>#,##0</c:formatCode>
                <c:ptCount val="12"/>
                <c:pt idx="0">
                  <c:v>368.78446000000076</c:v>
                </c:pt>
                <c:pt idx="1">
                  <c:v>-1.3620500000015454</c:v>
                </c:pt>
                <c:pt idx="2">
                  <c:v>1279.0863099999988</c:v>
                </c:pt>
                <c:pt idx="3">
                  <c:v>-391.16828999999962</c:v>
                </c:pt>
                <c:pt idx="4">
                  <c:v>-115.38723000000209</c:v>
                </c:pt>
                <c:pt idx="5">
                  <c:v>864.90085999999883</c:v>
                </c:pt>
                <c:pt idx="6">
                  <c:v>395.26637999999912</c:v>
                </c:pt>
                <c:pt idx="7">
                  <c:v>123.84371999999894</c:v>
                </c:pt>
                <c:pt idx="8">
                  <c:v>469.08341000000019</c:v>
                </c:pt>
                <c:pt idx="9">
                  <c:v>975.7389800000019</c:v>
                </c:pt>
                <c:pt idx="10">
                  <c:v>-38.44984000000386</c:v>
                </c:pt>
                <c:pt idx="11">
                  <c:v>763.48882999999751</c:v>
                </c:pt>
              </c:numCache>
            </c:numRef>
          </c:val>
        </c:ser>
        <c:ser>
          <c:idx val="1"/>
          <c:order val="1"/>
          <c:tx>
            <c:strRef>
              <c:f>'2016'!$A$43</c:f>
              <c:strCache>
                <c:ptCount val="1"/>
                <c:pt idx="0">
                  <c:v>roční přebytek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4314335277880072E-2"/>
                  <c:y val="-7.6557535571210623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1.931724185120438E-2"/>
                  <c:y val="-3.199810549997046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6"/>
              <c:layout>
                <c:manualLayout>
                  <c:x val="8.806591319434471E-3"/>
                  <c:y val="2.15538847117794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7"/>
              <c:layout>
                <c:manualLayout>
                  <c:x val="-1.7039123208650296E-3"/>
                  <c:y val="2.15538847117794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9"/>
              <c:layout>
                <c:manualLayout>
                  <c:x val="2.500390153933549E-3"/>
                  <c:y val="-3.5079825548122276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0"/>
              <c:layout>
                <c:manualLayout>
                  <c:x val="-8.0300773214159041E-4"/>
                  <c:y val="6.5162907268170424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11"/>
              <c:layout>
                <c:manualLayout>
                  <c:x val="3.1010023953318374E-3"/>
                  <c:y val="2.1553884711779499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 algn="ctr" rtl="1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'2016'!$B$43:$M$43</c:f>
              <c:numCache>
                <c:formatCode>#,##0</c:formatCode>
                <c:ptCount val="12"/>
                <c:pt idx="0">
                  <c:v>368.78446000000076</c:v>
                </c:pt>
                <c:pt idx="1">
                  <c:v>367.42240999999922</c:v>
                </c:pt>
                <c:pt idx="2">
                  <c:v>1646.5087199999962</c:v>
                </c:pt>
                <c:pt idx="3">
                  <c:v>1255.3404299999966</c:v>
                </c:pt>
                <c:pt idx="4">
                  <c:v>1139.9531999999999</c:v>
                </c:pt>
                <c:pt idx="5">
                  <c:v>2004.8540599999942</c:v>
                </c:pt>
                <c:pt idx="6">
                  <c:v>2400.1204399999988</c:v>
                </c:pt>
                <c:pt idx="7">
                  <c:v>2523.9641599999886</c:v>
                </c:pt>
                <c:pt idx="8">
                  <c:v>2993.0475699999952</c:v>
                </c:pt>
                <c:pt idx="9">
                  <c:v>3968.7865499999971</c:v>
                </c:pt>
                <c:pt idx="10">
                  <c:v>3930.3367099999887</c:v>
                </c:pt>
                <c:pt idx="11">
                  <c:v>4693.8255399999907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82494592"/>
        <c:axId val="82496128"/>
      </c:barChart>
      <c:catAx>
        <c:axId val="82494592"/>
        <c:scaling>
          <c:orientation val="minMax"/>
        </c:scaling>
        <c:delete val="0"/>
        <c:axPos val="b"/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2496128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82496128"/>
        <c:scaling>
          <c:orientation val="minMax"/>
          <c:min val="-2000"/>
        </c:scaling>
        <c:delete val="0"/>
        <c:axPos val="l"/>
        <c:title>
          <c:tx>
            <c:rich>
              <a:bodyPr/>
              <a:lstStyle/>
              <a:p>
                <a:pPr>
                  <a:defRPr sz="10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tis.Kč</a:t>
                </a:r>
              </a:p>
            </c:rich>
          </c:tx>
          <c:layout>
            <c:manualLayout>
              <c:xMode val="edge"/>
              <c:yMode val="edge"/>
              <c:x val="9.0090090090090089E-3"/>
              <c:y val="0.43984962406015038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82494592"/>
        <c:crosses val="autoZero"/>
        <c:crossBetween val="between"/>
        <c:majorUnit val="2000"/>
      </c:valAx>
      <c:spPr>
        <a:solidFill>
          <a:srgbClr val="CCFFCC"/>
        </a:solidFill>
        <a:ln w="12700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ayout>
        <c:manualLayout>
          <c:xMode val="edge"/>
          <c:yMode val="edge"/>
          <c:x val="0.28648705398311697"/>
          <c:y val="0.87092731829573933"/>
          <c:w val="0.53333427916105092"/>
          <c:h val="0.10526315789473684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920" b="1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>
  <c:date1904 val="0"/>
  <c:lang val="cs-CZ"/>
  <c:roundedCorners val="1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title>
      <c:tx>
        <c:rich>
          <a:bodyPr/>
          <a:lstStyle/>
          <a:p>
            <a:pPr>
              <a:defRPr sz="1200" b="1" i="0" u="none" strike="noStrike" baseline="0">
                <a:solidFill>
                  <a:srgbClr val="000000"/>
                </a:solidFill>
                <a:latin typeface="Arial"/>
                <a:ea typeface="Arial"/>
                <a:cs typeface="Arial"/>
              </a:defRPr>
            </a:pPr>
            <a:r>
              <a:rPr lang="cs-CZ"/>
              <a:t>Rozdíly daňových příjmů  v roce 2016 proti roku 2014
</a:t>
            </a:r>
          </a:p>
        </c:rich>
      </c:tx>
      <c:layout>
        <c:manualLayout>
          <c:xMode val="edge"/>
          <c:yMode val="edge"/>
          <c:x val="0.15742415918940364"/>
          <c:y val="1.6666666666666666E-2"/>
        </c:manualLayout>
      </c:layout>
      <c:overlay val="0"/>
      <c:spPr>
        <a:noFill/>
        <a:ln w="25400">
          <a:noFill/>
        </a:ln>
      </c:spPr>
    </c:title>
    <c:autoTitleDeleted val="0"/>
    <c:plotArea>
      <c:layout>
        <c:manualLayout>
          <c:layoutTarget val="inner"/>
          <c:xMode val="edge"/>
          <c:yMode val="edge"/>
          <c:x val="0.14490173658819511"/>
          <c:y val="0.16000052083502875"/>
          <c:w val="0.79427618574269909"/>
          <c:h val="0.69666893446918776"/>
        </c:manualLayout>
      </c:layout>
      <c:barChart>
        <c:barDir val="col"/>
        <c:grouping val="clustered"/>
        <c:varyColors val="0"/>
        <c:ser>
          <c:idx val="0"/>
          <c:order val="0"/>
          <c:tx>
            <c:strRef>
              <c:f>'2016'!$A$46</c:f>
              <c:strCache>
                <c:ptCount val="1"/>
                <c:pt idx="0">
                  <c:v>měsíční přebytek</c:v>
                </c:pt>
              </c:strCache>
            </c:strRef>
          </c:tx>
          <c:spPr>
            <a:solidFill>
              <a:srgbClr val="8080FF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val>
            <c:numRef>
              <c:f>'2016'!$B$46:$M$46</c:f>
              <c:numCache>
                <c:formatCode>#,##0</c:formatCode>
                <c:ptCount val="12"/>
                <c:pt idx="0">
                  <c:v>-716.26717000000008</c:v>
                </c:pt>
                <c:pt idx="1">
                  <c:v>-657.3772799999997</c:v>
                </c:pt>
                <c:pt idx="2">
                  <c:v>766.70902999999907</c:v>
                </c:pt>
                <c:pt idx="3">
                  <c:v>-193.10105999999814</c:v>
                </c:pt>
                <c:pt idx="4">
                  <c:v>96.970599999999649</c:v>
                </c:pt>
                <c:pt idx="5">
                  <c:v>2007.8485400000009</c:v>
                </c:pt>
                <c:pt idx="6">
                  <c:v>-274.12375000000065</c:v>
                </c:pt>
                <c:pt idx="7">
                  <c:v>384.13757999999689</c:v>
                </c:pt>
                <c:pt idx="8">
                  <c:v>699.05088999999862</c:v>
                </c:pt>
                <c:pt idx="9">
                  <c:v>1230.3764600000036</c:v>
                </c:pt>
                <c:pt idx="10">
                  <c:v>107.72609999999804</c:v>
                </c:pt>
                <c:pt idx="11">
                  <c:v>1596.7318099999993</c:v>
                </c:pt>
              </c:numCache>
            </c:numRef>
          </c:val>
        </c:ser>
        <c:ser>
          <c:idx val="1"/>
          <c:order val="1"/>
          <c:tx>
            <c:strRef>
              <c:f>'2016'!$A$47</c:f>
              <c:strCache>
                <c:ptCount val="1"/>
                <c:pt idx="0">
                  <c:v>roční přebytek</c:v>
                </c:pt>
              </c:strCache>
            </c:strRef>
          </c:tx>
          <c:spPr>
            <a:solidFill>
              <a:srgbClr val="993366"/>
            </a:solidFill>
            <a:ln w="12700">
              <a:solidFill>
                <a:srgbClr val="000000"/>
              </a:solidFill>
              <a:prstDash val="solid"/>
            </a:ln>
          </c:spPr>
          <c:invertIfNegative val="0"/>
          <c:dLbls>
            <c:dLbl>
              <c:idx val="1"/>
              <c:layout>
                <c:manualLayout>
                  <c:x val="1.7889087656529517E-3"/>
                  <c:y val="-4.1399825021872262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2"/>
              <c:layout>
                <c:manualLayout>
                  <c:x val="7.1556350626118068E-3"/>
                  <c:y val="4.4447944006999127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3"/>
              <c:layout>
                <c:manualLayout>
                  <c:x val="0"/>
                  <c:y val="-3.5014427943167802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4"/>
              <c:layout>
                <c:manualLayout>
                  <c:x val="1.9663910526389927E-4"/>
                  <c:y val="1.3301837270341208E-3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dLbl>
              <c:idx val="5"/>
              <c:layout>
                <c:manualLayout>
                  <c:x val="7.9486327424705596E-3"/>
                  <c:y val="1.9108094608236207E-2"/>
                </c:manualLayout>
              </c:layout>
              <c:dLblPos val="outEnd"/>
              <c:showLegendKey val="0"/>
              <c:showVal val="1"/>
              <c:showCatName val="0"/>
              <c:showSerName val="0"/>
              <c:showPercent val="0"/>
              <c:showBubbleSize val="0"/>
            </c:dLbl>
            <c:numFmt formatCode="0" sourceLinked="0"/>
            <c:spPr>
              <a:noFill/>
              <a:ln w="25400">
                <a:noFill/>
              </a:ln>
            </c:spPr>
            <c:txPr>
              <a:bodyPr/>
              <a:lstStyle/>
              <a:p>
                <a:pPr algn="ctr" rtl="1">
                  <a:defRPr sz="800" b="1" i="0" u="none" strike="noStrike" baseline="0">
                    <a:solidFill>
                      <a:srgbClr val="000000"/>
                    </a:solidFill>
                    <a:latin typeface="Times New Roman"/>
                    <a:ea typeface="Times New Roman"/>
                    <a:cs typeface="Times New Roman"/>
                  </a:defRPr>
                </a:pPr>
                <a:endParaRPr lang="cs-CZ"/>
              </a:p>
            </c:txPr>
            <c:showLegendKey val="0"/>
            <c:showVal val="1"/>
            <c:showCatName val="0"/>
            <c:showSerName val="0"/>
            <c:showPercent val="0"/>
            <c:showBubbleSize val="0"/>
            <c:showLeaderLines val="0"/>
          </c:dLbls>
          <c:val>
            <c:numRef>
              <c:f>'2016'!$B$47:$M$47</c:f>
              <c:numCache>
                <c:formatCode>#,##0</c:formatCode>
                <c:ptCount val="12"/>
                <c:pt idx="0">
                  <c:v>-716.26717000000008</c:v>
                </c:pt>
                <c:pt idx="1">
                  <c:v>-1373.6444499999998</c:v>
                </c:pt>
                <c:pt idx="2">
                  <c:v>-606.93542000000161</c:v>
                </c:pt>
                <c:pt idx="3">
                  <c:v>-800.03647999999885</c:v>
                </c:pt>
                <c:pt idx="4">
                  <c:v>-703.06587999999465</c:v>
                </c:pt>
                <c:pt idx="5">
                  <c:v>1304.7826600000008</c:v>
                </c:pt>
                <c:pt idx="6">
                  <c:v>1030.6589100000128</c:v>
                </c:pt>
                <c:pt idx="7">
                  <c:v>1414.7964900000006</c:v>
                </c:pt>
                <c:pt idx="8">
                  <c:v>2113.847379999992</c:v>
                </c:pt>
                <c:pt idx="9">
                  <c:v>3344.2238399999987</c:v>
                </c:pt>
                <c:pt idx="10">
                  <c:v>3451.9499400000059</c:v>
                </c:pt>
                <c:pt idx="11">
                  <c:v>5048.6817500000034</c:v>
                </c:pt>
              </c:numCache>
            </c:numRef>
          </c:val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00"/>
        <c:axId val="107963520"/>
        <c:axId val="107965440"/>
      </c:barChart>
      <c:catAx>
        <c:axId val="107963520"/>
        <c:scaling>
          <c:orientation val="minMax"/>
        </c:scaling>
        <c:delete val="0"/>
        <c:axPos val="b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měsíc</a:t>
                </a:r>
              </a:p>
            </c:rich>
          </c:tx>
          <c:layout>
            <c:manualLayout>
              <c:xMode val="edge"/>
              <c:yMode val="edge"/>
              <c:x val="0.54025101066302306"/>
              <c:y val="0.8866694663167104"/>
            </c:manualLayout>
          </c:layout>
          <c:overlay val="0"/>
          <c:spPr>
            <a:noFill/>
            <a:ln w="25400">
              <a:noFill/>
            </a:ln>
          </c:spPr>
        </c:title>
        <c:numFmt formatCode="General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07965440"/>
        <c:crosses val="autoZero"/>
        <c:auto val="0"/>
        <c:lblAlgn val="ctr"/>
        <c:lblOffset val="100"/>
        <c:tickLblSkip val="1"/>
        <c:tickMarkSkip val="1"/>
        <c:noMultiLvlLbl val="0"/>
      </c:catAx>
      <c:valAx>
        <c:axId val="107965440"/>
        <c:scaling>
          <c:orientation val="minMax"/>
          <c:min val="-2000"/>
        </c:scaling>
        <c:delete val="0"/>
        <c:axPos val="l"/>
        <c:title>
          <c:tx>
            <c:rich>
              <a:bodyPr/>
              <a:lstStyle/>
              <a:p>
                <a:pPr>
                  <a:defRPr sz="900" b="1" i="0" u="none" strike="noStrike" baseline="0">
                    <a:solidFill>
                      <a:srgbClr val="000000"/>
                    </a:solidFill>
                    <a:latin typeface="Arial"/>
                    <a:ea typeface="Arial"/>
                    <a:cs typeface="Arial"/>
                  </a:defRPr>
                </a:pPr>
                <a:r>
                  <a:rPr lang="cs-CZ"/>
                  <a:t>tis.Kč</a:t>
                </a:r>
              </a:p>
            </c:rich>
          </c:tx>
          <c:layout>
            <c:manualLayout>
              <c:xMode val="edge"/>
              <c:yMode val="edge"/>
              <c:x val="1.0733452593917709E-2"/>
              <c:y val="0.47333473315835523"/>
            </c:manualLayout>
          </c:layout>
          <c:overlay val="0"/>
          <c:spPr>
            <a:noFill/>
            <a:ln w="25400">
              <a:noFill/>
            </a:ln>
          </c:spPr>
        </c:title>
        <c:numFmt formatCode="#,##0" sourceLinked="1"/>
        <c:majorTickMark val="cross"/>
        <c:minorTickMark val="none"/>
        <c:tickLblPos val="nextTo"/>
        <c:spPr>
          <a:ln w="3175">
            <a:solidFill>
              <a:srgbClr val="000000"/>
            </a:solidFill>
            <a:prstDash val="solid"/>
          </a:ln>
        </c:spPr>
        <c:txPr>
          <a:bodyPr rot="0" vert="horz"/>
          <a:lstStyle/>
          <a:p>
            <a:pPr>
              <a:defRPr sz="80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  <c:crossAx val="107963520"/>
        <c:crosses val="autoZero"/>
        <c:crossBetween val="between"/>
        <c:majorUnit val="2000"/>
        <c:minorUnit val="500"/>
      </c:valAx>
      <c:spPr>
        <a:solidFill>
          <a:srgbClr val="CCFFCC"/>
        </a:solidFill>
        <a:ln w="12700">
          <a:solidFill>
            <a:srgbClr val="FFFFFF"/>
          </a:solidFill>
          <a:prstDash val="solid"/>
        </a:ln>
      </c:spPr>
    </c:plotArea>
    <c:legend>
      <c:legendPos val="r"/>
      <c:legendEntry>
        <c:idx val="0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egendEntry>
        <c:idx val="1"/>
        <c:txPr>
          <a:bodyPr/>
          <a:lstStyle/>
          <a:p>
            <a:pPr>
              <a:defRPr sz="920" b="1" i="0" u="none" strike="noStrike" baseline="0">
                <a:solidFill>
                  <a:srgbClr val="000000"/>
                </a:solidFill>
                <a:latin typeface="Times New Roman"/>
                <a:ea typeface="Times New Roman"/>
                <a:cs typeface="Times New Roman"/>
              </a:defRPr>
            </a:pPr>
            <a:endParaRPr lang="cs-CZ"/>
          </a:p>
        </c:txPr>
      </c:legendEntry>
      <c:layout>
        <c:manualLayout>
          <c:xMode val="edge"/>
          <c:yMode val="edge"/>
          <c:x val="0.31305922180121043"/>
          <c:y val="0.90111391076115488"/>
          <c:w val="0.5062615563036732"/>
          <c:h val="8.000034995625549E-2"/>
        </c:manualLayout>
      </c:layout>
      <c:overlay val="0"/>
      <c:spPr>
        <a:solidFill>
          <a:srgbClr val="FFFFFF"/>
        </a:solidFill>
        <a:ln w="3175">
          <a:solidFill>
            <a:srgbClr val="000000"/>
          </a:solidFill>
          <a:prstDash val="solid"/>
        </a:ln>
      </c:spPr>
      <c:txPr>
        <a:bodyPr/>
        <a:lstStyle/>
        <a:p>
          <a:pPr>
            <a:defRPr sz="545" b="0" i="0" u="none" strike="noStrike" baseline="0">
              <a:solidFill>
                <a:srgbClr val="000000"/>
              </a:solidFill>
              <a:latin typeface="Times New Roman"/>
              <a:ea typeface="Times New Roman"/>
              <a:cs typeface="Times New Roman"/>
            </a:defRPr>
          </a:pPr>
          <a:endParaRPr lang="cs-CZ"/>
        </a:p>
      </c:txPr>
    </c:legend>
    <c:plotVisOnly val="1"/>
    <c:dispBlanksAs val="gap"/>
    <c:showDLblsOverMax val="0"/>
  </c:chart>
  <c:spPr>
    <a:solidFill>
      <a:srgbClr val="FFFFFF"/>
    </a:solidFill>
    <a:ln w="3175">
      <a:solidFill>
        <a:srgbClr val="000000"/>
      </a:solidFill>
      <a:prstDash val="solid"/>
    </a:ln>
    <a:effectLst>
      <a:outerShdw dist="35921" dir="2700000" algn="br">
        <a:srgbClr val="000000"/>
      </a:outerShdw>
    </a:effectLst>
  </c:spPr>
  <c:txPr>
    <a:bodyPr/>
    <a:lstStyle/>
    <a:p>
      <a:pPr>
        <a:defRPr sz="1200" b="0" i="0" u="none" strike="noStrike" baseline="0">
          <a:solidFill>
            <a:srgbClr val="000000"/>
          </a:solidFill>
          <a:latin typeface="Times New Roman"/>
          <a:ea typeface="Times New Roman"/>
          <a:cs typeface="Times New Roman"/>
        </a:defRPr>
      </a:pPr>
      <a:endParaRPr lang="cs-CZ"/>
    </a:p>
  </c:txPr>
  <c:externalData r:id="rId1">
    <c:autoUpdate val="0"/>
  </c:externalData>
</c:chartSpace>
</file>

<file path=word/drawings/drawing1.xml><?xml version="1.0" encoding="utf-8"?>
<c:userShapes xmlns:c="http://schemas.openxmlformats.org/drawingml/2006/chart"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171009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17101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2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3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0.08777</cdr:y>
    </cdr:from>
    <cdr:to>
      <cdr:x>0.99081</cdr:x>
      <cdr:y>0.20751</cdr:y>
    </cdr:to>
    <cdr:sp macro="" textlink="" fLocksText="0">
      <cdr:nvSpPr>
        <cdr:cNvPr id="2049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3528"/>
          <a:ext cx="209812" cy="505230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0.49927</cdr:y>
    </cdr:from>
    <cdr:to>
      <cdr:x>0.52871</cdr:x>
      <cdr:y>0.54227</cdr:y>
    </cdr:to>
    <cdr:sp macro="" textlink="">
      <cdr:nvSpPr>
        <cdr:cNvPr id="2050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09869"/>
          <a:ext cx="148776" cy="18147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4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5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157697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27338" y="374560"/>
          <a:ext cx="209812" cy="50522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157698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  <cdr:relSizeAnchor xmlns:cdr="http://schemas.openxmlformats.org/drawingml/2006/chartDrawing">
    <cdr:from>
      <cdr:x>0.95032</cdr:x>
      <cdr:y>0.08801</cdr:y>
    </cdr:from>
    <cdr:to>
      <cdr:x>0.99081</cdr:x>
      <cdr:y>0.20775</cdr:y>
    </cdr:to>
    <cdr:sp macro="" textlink="" fLocksText="0">
      <cdr:nvSpPr>
        <cdr:cNvPr id="6" name="text 1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4915126" y="370527"/>
          <a:ext cx="209418" cy="504111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0"/>
              </a:solidFill>
            </a14:hiddenFill>
          </a:ext>
          <a:ext uri="{91240B29-F687-4F45-9708-019B960494DF}">
            <a14:hiddenLine xmlns:a14="http://schemas.microsoft.com/office/drawing/2010/main" w="9525">
              <a:solidFill>
                <a:srgbClr xmlns:mc="http://schemas.openxmlformats.org/markup-compatibility/2006" val="000000" mc:Ignorable="a14" a14:legacySpreadsheetColorIndex="0"/>
              </a:solidFill>
              <a:miter lim="800000"/>
              <a:headEnd/>
              <a:tailEnd/>
            </a14:hiddenLine>
          </a:ext>
        </a:extLst>
      </cdr:spPr>
      <cdr:txBody>
        <a:bodyPr xmlns:a="http://schemas.openxmlformats.org/drawingml/2006/main" vertOverflow="clip" vert="vert270" wrap="square" lIns="27432" tIns="22860" rIns="27432" bIns="0" anchor="ctr" upright="1"/>
        <a:lstStyle xmlns:a="http://schemas.openxmlformats.org/drawingml/2006/main"/>
        <a:p xmlns:a="http://schemas.openxmlformats.org/drawingml/2006/main">
          <a:pPr algn="r" rtl="0">
            <a:defRPr sz="1000"/>
          </a:pPr>
          <a:r>
            <a:rPr lang="cs-CZ" sz="1000" b="1" i="0" u="none" strike="noStrike" baseline="0">
              <a:solidFill>
                <a:srgbClr val="000000"/>
              </a:solidFill>
              <a:latin typeface="Arial"/>
              <a:cs typeface="Arial"/>
            </a:rPr>
            <a:t>tis. Kč</a:t>
          </a:r>
          <a:endParaRPr lang="cs-CZ"/>
        </a:p>
      </cdr:txBody>
    </cdr:sp>
  </cdr:relSizeAnchor>
  <cdr:relSizeAnchor xmlns:cdr="http://schemas.openxmlformats.org/drawingml/2006/chartDrawing">
    <cdr:from>
      <cdr:x>0.5</cdr:x>
      <cdr:y>0.51955</cdr:y>
    </cdr:from>
    <cdr:to>
      <cdr:x>0.52871</cdr:x>
      <cdr:y>0.56451</cdr:y>
    </cdr:to>
    <cdr:sp macro="" textlink="">
      <cdr:nvSpPr>
        <cdr:cNvPr id="7" name="Text Box 2"/>
        <cdr:cNvSpPr txBox="1">
          <a:spLocks xmlns:a="http://schemas.openxmlformats.org/drawingml/2006/main" noChangeArrowheads="1"/>
        </cdr:cNvSpPr>
      </cdr:nvSpPr>
      <cdr:spPr bwMode="auto">
        <a:xfrm xmlns:a="http://schemas.openxmlformats.org/drawingml/2006/main">
          <a:off x="2593975" y="2195449"/>
          <a:ext cx="148776" cy="189719"/>
        </a:xfrm>
        <a:prstGeom xmlns:a="http://schemas.openxmlformats.org/drawingml/2006/main" prst="rect">
          <a:avLst/>
        </a:prstGeom>
        <a:noFill xmlns:a="http://schemas.openxmlformats.org/drawingml/2006/main"/>
        <a:ln xmlns:a="http://schemas.openxmlformats.org/drawingml/2006/main">
          <a:noFill/>
        </a:ln>
        <a:effectLst xmlns:a="http://schemas.openxmlformats.org/drawingml/2006/main"/>
        <a:extLst xmlns:a="http://schemas.openxmlformats.org/drawingml/2006/main">
          <a:ext uri="{909E8E84-426E-40DD-AFC4-6F175D3DCCD1}">
            <a14:hiddenFill xmlns:a14="http://schemas.microsoft.com/office/drawing/2010/main">
              <a:solidFill>
                <a:srgbClr xmlns:mc="http://schemas.openxmlformats.org/markup-compatibility/2006" val="000000" mc:Ignorable="a14" a14:legacySpreadsheetColorIndex="64"/>
              </a:solidFill>
            </a14:hiddenFill>
          </a:ext>
          <a:ext uri="{91240B29-F687-4F45-9708-019B960494DF}">
            <a14:hiddenLine xmlns:a14="http://schemas.microsoft.com/office/drawing/2010/main" w="1">
              <a:solidFill>
                <a:srgbClr xmlns:mc="http://schemas.openxmlformats.org/markup-compatibility/2006" val="FFFFFF" mc:Ignorable="a14" a14:legacySpreadsheetColorIndex="65"/>
              </a:solidFill>
              <a:miter lim="800000"/>
              <a:headEnd/>
              <a:tailEnd/>
            </a14:hiddenLine>
          </a:ext>
          <a:ext uri="{AF507438-7753-43E0-B8FC-AC1667EBCBE1}">
            <a14:hiddenEffects xmlns:a14="http://schemas.microsoft.com/office/drawing/2010/main">
              <a:effectLst>
                <a:outerShdw dist="35921" dir="2700000" algn="ctr" rotWithShape="0">
                  <a:srgbClr val="808080"/>
                </a:outerShdw>
              </a:effectLst>
            </a14:hiddenEffects>
          </a:ext>
        </a:extLst>
      </cdr:spPr>
      <cdr:txBody>
        <a:bodyPr xmlns:a="http://schemas.openxmlformats.org/drawingml/2006/main" vertOverflow="clip" wrap="square" lIns="18288" tIns="0" rIns="0" bIns="0" anchor="ctr" upright="1"/>
        <a:lstStyle xmlns:a="http://schemas.openxmlformats.org/drawingml/2006/main"/>
        <a:p xmlns:a="http://schemas.openxmlformats.org/drawingml/2006/main">
          <a:pPr algn="ctr" rtl="0">
            <a:defRPr sz="1000"/>
          </a:pPr>
          <a:endParaRPr lang="cs-CZ"/>
        </a:p>
      </cdr:txBody>
    </cdr:sp>
  </cdr:relSizeAnchor>
</c:userShape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1305</Words>
  <Characters>7705</Characters>
  <Application>Microsoft Office Word</Application>
  <DocSecurity>0</DocSecurity>
  <Lines>64</Lines>
  <Paragraphs>17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Komentář k předkládanému rozpočtu 2009</vt:lpstr>
    </vt:vector>
  </TitlesOfParts>
  <Company>Jilemnice</Company>
  <LinksUpToDate>false</LinksUpToDate>
  <CharactersWithSpaces>8993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Komentář k předkládanému rozpočtu 2009</dc:title>
  <dc:creator>Kynčlová</dc:creator>
  <cp:lastModifiedBy>Město Jilemnice</cp:lastModifiedBy>
  <cp:revision>4</cp:revision>
  <cp:lastPrinted>2016-02-12T07:10:00Z</cp:lastPrinted>
  <dcterms:created xsi:type="dcterms:W3CDTF">2017-02-27T13:31:00Z</dcterms:created>
  <dcterms:modified xsi:type="dcterms:W3CDTF">2017-02-27T14:10:00Z</dcterms:modified>
</cp:coreProperties>
</file>