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95" w:rsidRPr="00E36B95" w:rsidRDefault="0004324E" w:rsidP="0004324E">
      <w:pPr>
        <w:pStyle w:val="Zkladntextodsazen"/>
        <w:ind w:firstLine="0"/>
        <w:jc w:val="both"/>
        <w:rPr>
          <w:b/>
          <w:i w:val="0"/>
          <w:sz w:val="22"/>
          <w:szCs w:val="22"/>
        </w:rPr>
      </w:pPr>
      <w:r>
        <w:rPr>
          <w:b/>
          <w:i w:val="0"/>
          <w:sz w:val="22"/>
          <w:szCs w:val="22"/>
        </w:rPr>
        <w:t xml:space="preserve">  </w:t>
      </w:r>
      <w:r w:rsidR="00E36B95" w:rsidRPr="00E36B95">
        <w:rPr>
          <w:b/>
          <w:i w:val="0"/>
          <w:sz w:val="22"/>
          <w:szCs w:val="22"/>
        </w:rPr>
        <w:t>Rozpočet města Jilemnice na rok 2019</w:t>
      </w:r>
    </w:p>
    <w:p w:rsidR="00E36B95" w:rsidRPr="00E36B95" w:rsidRDefault="00E36B95" w:rsidP="00E36B95">
      <w:pPr>
        <w:pStyle w:val="Zkladntextodsazen"/>
        <w:ind w:left="170" w:firstLine="312"/>
        <w:jc w:val="both"/>
        <w:rPr>
          <w:sz w:val="22"/>
          <w:szCs w:val="22"/>
        </w:rPr>
      </w:pPr>
      <w:r w:rsidRPr="00E36B95">
        <w:rPr>
          <w:sz w:val="22"/>
          <w:szCs w:val="22"/>
        </w:rPr>
        <w:t xml:space="preserve">Návrh rozpočtu na rok 2019 vychází z výsledků hospodaření města Jilemnice z minulého roku 2018 a ze schváleného státního rozpočtu na rok 2019, podle něhož jsou rozpočtovány daňové příjmy a dotace na výkon státní správy. Podrobný rozbor hospodaření města za rok 2018 spolu s výsledky hospodaření </w:t>
      </w:r>
      <w:r w:rsidR="009043B9">
        <w:rPr>
          <w:sz w:val="22"/>
          <w:szCs w:val="22"/>
        </w:rPr>
        <w:t>příspěvkových organizací a obchodních společností založených městem</w:t>
      </w:r>
      <w:r w:rsidRPr="00E36B95">
        <w:rPr>
          <w:sz w:val="22"/>
          <w:szCs w:val="22"/>
        </w:rPr>
        <w:t xml:space="preserve"> bude součástí schvalování závěrečného účtu roku 2018.  Za rok 2018 byl vyhodnocen přebytek hospodaření ve výši 22.539 tis. Kč, který je celý zapojen do rozpočtu roku 2019. Podrobné členění přehledu hospodaření za rok 2018 a návrhu rozpočtu na rok 2019 spolu s dalšími doplňu</w:t>
      </w:r>
      <w:r w:rsidR="009043B9">
        <w:rPr>
          <w:sz w:val="22"/>
          <w:szCs w:val="22"/>
        </w:rPr>
        <w:t>jícími informacemi je v příloze.</w:t>
      </w:r>
    </w:p>
    <w:p w:rsidR="00E36B95" w:rsidRPr="00E36B95" w:rsidRDefault="00E36B95" w:rsidP="00E36B95">
      <w:pPr>
        <w:ind w:left="170" w:firstLine="311"/>
        <w:jc w:val="both"/>
        <w:rPr>
          <w:b/>
          <w:i/>
          <w:sz w:val="22"/>
          <w:szCs w:val="22"/>
        </w:rPr>
      </w:pPr>
      <w:r w:rsidRPr="00E36B95">
        <w:rPr>
          <w:b/>
          <w:i/>
          <w:sz w:val="22"/>
          <w:szCs w:val="22"/>
        </w:rPr>
        <w:t>K rozpočtu běžných příjmů 2019</w:t>
      </w:r>
      <w:r w:rsidRPr="00E36B95">
        <w:rPr>
          <w:i/>
          <w:sz w:val="22"/>
          <w:szCs w:val="22"/>
        </w:rPr>
        <w:t>: Příjem ze sdílených daní, který je počítán podle počtu obyvatel s trvalým pobytem v Jilemnici (5410 občanů) a daně z nemovitých věcí je plánován ve výši 80.100 tis. Kč, což je 101,2%  skutečnosti v roce 2018. Bohužel meziročně dochází k opětovnému úbytku obyvatel Jilemnice a nově i k poklesu žáků našich škol (-56 žáků), proto je nutné rozpočtovat daňové příjmy velice opatrně.  Správní poplatky jsou rozpočtovány v částce 4.775 tis. Kč (104% rozpočtu 2018), místní poplatky v  částce 3.3</w:t>
      </w:r>
      <w:r w:rsidR="009043B9">
        <w:rPr>
          <w:i/>
          <w:sz w:val="22"/>
          <w:szCs w:val="22"/>
        </w:rPr>
        <w:t>43 tis. Kč (100% rozpočtu 2018).</w:t>
      </w:r>
      <w:r w:rsidRPr="00E36B95">
        <w:rPr>
          <w:i/>
          <w:sz w:val="22"/>
          <w:szCs w:val="22"/>
        </w:rPr>
        <w:t xml:space="preserve"> </w:t>
      </w:r>
      <w:r w:rsidR="009043B9">
        <w:rPr>
          <w:i/>
          <w:sz w:val="22"/>
          <w:szCs w:val="22"/>
        </w:rPr>
        <w:t>V</w:t>
      </w:r>
      <w:r w:rsidRPr="00E36B95">
        <w:rPr>
          <w:i/>
          <w:sz w:val="22"/>
          <w:szCs w:val="22"/>
        </w:rPr>
        <w:t>livem ukončení činnosti dvou heren v Jilemnici je daň z</w:t>
      </w:r>
      <w:r w:rsidR="009043B9">
        <w:rPr>
          <w:i/>
          <w:sz w:val="22"/>
          <w:szCs w:val="22"/>
        </w:rPr>
        <w:t> </w:t>
      </w:r>
      <w:r w:rsidRPr="00E36B95">
        <w:rPr>
          <w:i/>
          <w:sz w:val="22"/>
          <w:szCs w:val="22"/>
        </w:rPr>
        <w:t>hazardních</w:t>
      </w:r>
      <w:r w:rsidR="009043B9">
        <w:rPr>
          <w:i/>
          <w:sz w:val="22"/>
          <w:szCs w:val="22"/>
        </w:rPr>
        <w:t xml:space="preserve"> her</w:t>
      </w:r>
      <w:r w:rsidRPr="00E36B95">
        <w:rPr>
          <w:i/>
          <w:sz w:val="22"/>
          <w:szCs w:val="22"/>
        </w:rPr>
        <w:t xml:space="preserve"> snížena na částku 2.400 tis. Kč, tj. 47% rozpočtu 2018.  Ostatní běžné příjmy jsou rozpočtovány dle uzavřených smluv, či skutečnosti minulého roku, celkem v částce 27.393 tis. Kč (100% rozpočtu 2018).</w:t>
      </w:r>
      <w:r w:rsidRPr="00E36B95">
        <w:rPr>
          <w:b/>
          <w:i/>
          <w:sz w:val="22"/>
          <w:szCs w:val="22"/>
        </w:rPr>
        <w:t xml:space="preserve"> </w:t>
      </w:r>
    </w:p>
    <w:p w:rsidR="00E36B95" w:rsidRPr="00E36B95" w:rsidRDefault="00E36B95" w:rsidP="00E36B95">
      <w:pPr>
        <w:ind w:left="170" w:firstLine="311"/>
        <w:jc w:val="both"/>
        <w:rPr>
          <w:i/>
          <w:sz w:val="22"/>
          <w:szCs w:val="22"/>
        </w:rPr>
      </w:pPr>
      <w:r w:rsidRPr="00E36B95">
        <w:rPr>
          <w:b/>
          <w:i/>
          <w:sz w:val="22"/>
          <w:szCs w:val="22"/>
        </w:rPr>
        <w:t>K rozpočtu kapitálových příjmů 2019</w:t>
      </w:r>
      <w:r w:rsidRPr="00E36B95">
        <w:rPr>
          <w:i/>
          <w:sz w:val="22"/>
          <w:szCs w:val="22"/>
        </w:rPr>
        <w:t>: Kapitálové příjmy jsou rozpočtovány v částce 13.558 tis. Kč. Zde je počítáno s privatizací bytů čp. 1000-1001,</w:t>
      </w:r>
      <w:r w:rsidR="009043B9">
        <w:rPr>
          <w:i/>
          <w:sz w:val="22"/>
          <w:szCs w:val="22"/>
        </w:rPr>
        <w:t>s</w:t>
      </w:r>
      <w:r w:rsidRPr="00E36B95">
        <w:rPr>
          <w:i/>
          <w:sz w:val="22"/>
          <w:szCs w:val="22"/>
        </w:rPr>
        <w:t xml:space="preserve"> prodeji pozemků v lokalitě Nouzov,</w:t>
      </w:r>
      <w:r w:rsidR="009043B9">
        <w:rPr>
          <w:i/>
          <w:sz w:val="22"/>
          <w:szCs w:val="22"/>
        </w:rPr>
        <w:t xml:space="preserve"> se</w:t>
      </w:r>
      <w:r w:rsidRPr="00E36B95">
        <w:rPr>
          <w:i/>
          <w:sz w:val="22"/>
          <w:szCs w:val="22"/>
        </w:rPr>
        <w:t xml:space="preserve"> splátkami budoucích kupních c</w:t>
      </w:r>
      <w:r w:rsidR="009043B9">
        <w:rPr>
          <w:i/>
          <w:sz w:val="22"/>
          <w:szCs w:val="22"/>
        </w:rPr>
        <w:t xml:space="preserve">en bytů u akce „32bj. Roztocká“ a </w:t>
      </w:r>
      <w:r w:rsidR="00D20B58">
        <w:rPr>
          <w:i/>
          <w:sz w:val="22"/>
          <w:szCs w:val="22"/>
        </w:rPr>
        <w:t>50 tis. Kč z </w:t>
      </w:r>
      <w:r w:rsidR="009043B9">
        <w:rPr>
          <w:i/>
          <w:sz w:val="22"/>
          <w:szCs w:val="22"/>
        </w:rPr>
        <w:t>drobn</w:t>
      </w:r>
      <w:r w:rsidR="00D20B58">
        <w:rPr>
          <w:i/>
          <w:sz w:val="22"/>
          <w:szCs w:val="22"/>
        </w:rPr>
        <w:t xml:space="preserve">ých </w:t>
      </w:r>
      <w:r w:rsidR="009043B9">
        <w:rPr>
          <w:i/>
          <w:sz w:val="22"/>
          <w:szCs w:val="22"/>
        </w:rPr>
        <w:t>prodej</w:t>
      </w:r>
      <w:r w:rsidR="00D20B58">
        <w:rPr>
          <w:i/>
          <w:sz w:val="22"/>
          <w:szCs w:val="22"/>
        </w:rPr>
        <w:t>ů pozemků.</w:t>
      </w:r>
      <w:r w:rsidR="009043B9">
        <w:rPr>
          <w:i/>
          <w:sz w:val="22"/>
          <w:szCs w:val="22"/>
        </w:rPr>
        <w:t xml:space="preserve"> </w:t>
      </w:r>
      <w:r w:rsidRPr="00E36B95">
        <w:rPr>
          <w:i/>
          <w:sz w:val="22"/>
          <w:szCs w:val="22"/>
        </w:rPr>
        <w:t xml:space="preserve"> </w:t>
      </w:r>
    </w:p>
    <w:p w:rsidR="00E36B95" w:rsidRPr="00E36B95" w:rsidRDefault="00E36B95" w:rsidP="00E36B95">
      <w:pPr>
        <w:ind w:left="180" w:firstLine="301"/>
        <w:jc w:val="both"/>
        <w:rPr>
          <w:i/>
          <w:sz w:val="22"/>
          <w:szCs w:val="22"/>
        </w:rPr>
      </w:pPr>
      <w:r w:rsidRPr="00E36B95">
        <w:rPr>
          <w:b/>
          <w:i/>
          <w:sz w:val="22"/>
          <w:szCs w:val="22"/>
        </w:rPr>
        <w:t>K rozpočtu dotací 2019:</w:t>
      </w:r>
      <w:r w:rsidRPr="00E36B95">
        <w:rPr>
          <w:i/>
          <w:sz w:val="22"/>
          <w:szCs w:val="22"/>
        </w:rPr>
        <w:t xml:space="preserve">  Běžné rozpočtované dotace jsou v částce 28.221 tis. Kč (101% rozpočtu </w:t>
      </w:r>
      <w:proofErr w:type="gramStart"/>
      <w:r w:rsidRPr="00E36B95">
        <w:rPr>
          <w:i/>
          <w:sz w:val="22"/>
          <w:szCs w:val="22"/>
        </w:rPr>
        <w:t>r.2018</w:t>
      </w:r>
      <w:proofErr w:type="gramEnd"/>
      <w:r w:rsidRPr="00E36B95">
        <w:rPr>
          <w:i/>
          <w:sz w:val="22"/>
          <w:szCs w:val="22"/>
        </w:rPr>
        <w:t xml:space="preserve">), z toho dotace na výkon státní správy činí 23.841 tis. Kč včetně účelové dotace na sociálně právní ochranu dětí a sociální práci pro sociální odbor. Z dotací na projekty pokračují projekty a to „Rozvoj MA 21 v Jilemnici“(105 tis. Kč) a projekt „Podpora sociální práce v Jilemnici“(633 tis. Kč). Pokračují dotace pro pečovatelskou službu (1.800 tis. Kč) a dotace na památky od Libereckého kraje </w:t>
      </w:r>
      <w:r w:rsidR="009043B9">
        <w:rPr>
          <w:i/>
          <w:sz w:val="22"/>
          <w:szCs w:val="22"/>
        </w:rPr>
        <w:t>(</w:t>
      </w:r>
      <w:r w:rsidRPr="00E36B95">
        <w:rPr>
          <w:i/>
          <w:sz w:val="22"/>
          <w:szCs w:val="22"/>
        </w:rPr>
        <w:t>500 tis. Kč</w:t>
      </w:r>
      <w:r w:rsidR="009043B9">
        <w:rPr>
          <w:i/>
          <w:sz w:val="22"/>
          <w:szCs w:val="22"/>
        </w:rPr>
        <w:t>)</w:t>
      </w:r>
      <w:r w:rsidRPr="00E36B95">
        <w:rPr>
          <w:i/>
          <w:sz w:val="22"/>
          <w:szCs w:val="22"/>
        </w:rPr>
        <w:t xml:space="preserve"> a od MKČR </w:t>
      </w:r>
      <w:r w:rsidR="009043B9">
        <w:rPr>
          <w:i/>
          <w:sz w:val="22"/>
          <w:szCs w:val="22"/>
        </w:rPr>
        <w:t>(</w:t>
      </w:r>
      <w:r w:rsidRPr="00E36B95">
        <w:rPr>
          <w:i/>
          <w:sz w:val="22"/>
          <w:szCs w:val="22"/>
        </w:rPr>
        <w:t>700 tis. Kč</w:t>
      </w:r>
      <w:r w:rsidR="009043B9">
        <w:rPr>
          <w:i/>
          <w:sz w:val="22"/>
          <w:szCs w:val="22"/>
        </w:rPr>
        <w:t>)</w:t>
      </w:r>
      <w:r w:rsidRPr="00E36B95">
        <w:rPr>
          <w:i/>
          <w:sz w:val="22"/>
          <w:szCs w:val="22"/>
        </w:rPr>
        <w:t xml:space="preserve">. Z kapitálových dotací je rozpočtována dotace na akci „Chodník Čsl. </w:t>
      </w:r>
      <w:proofErr w:type="gramStart"/>
      <w:r w:rsidRPr="00E36B95">
        <w:rPr>
          <w:i/>
          <w:sz w:val="22"/>
          <w:szCs w:val="22"/>
        </w:rPr>
        <w:t>legií</w:t>
      </w:r>
      <w:proofErr w:type="gramEnd"/>
      <w:r w:rsidRPr="00E36B95">
        <w:rPr>
          <w:i/>
          <w:sz w:val="22"/>
          <w:szCs w:val="22"/>
        </w:rPr>
        <w:t xml:space="preserve">“ ve výši 15.484 tis. Kč a dotace na pořízení nákladního vozidla pro MATES ve výši 600 tis. Kč. </w:t>
      </w:r>
    </w:p>
    <w:p w:rsidR="00E36B95" w:rsidRPr="00E36B95" w:rsidRDefault="00E36B95" w:rsidP="00E36B95">
      <w:pPr>
        <w:ind w:left="180" w:firstLine="301"/>
        <w:jc w:val="both"/>
        <w:rPr>
          <w:i/>
          <w:sz w:val="22"/>
          <w:szCs w:val="22"/>
        </w:rPr>
      </w:pPr>
      <w:r w:rsidRPr="00E36B95">
        <w:rPr>
          <w:i/>
          <w:sz w:val="22"/>
          <w:szCs w:val="22"/>
        </w:rPr>
        <w:t xml:space="preserve">  </w:t>
      </w:r>
      <w:r w:rsidRPr="00E36B95">
        <w:rPr>
          <w:b/>
          <w:i/>
          <w:sz w:val="22"/>
          <w:szCs w:val="22"/>
        </w:rPr>
        <w:t xml:space="preserve">K rozpočtu běžných výdajů 2019: </w:t>
      </w:r>
      <w:r w:rsidRPr="00E36B95">
        <w:rPr>
          <w:i/>
          <w:sz w:val="22"/>
          <w:szCs w:val="22"/>
        </w:rPr>
        <w:t>Čerpání běžných výdajů je navrženo v souhrnné výši 139.399 tis. Kč (98% rozpočtu 2018). Kritériem k projednávání jednotlivých výdajů pro rok 2019 bylo dop</w:t>
      </w:r>
      <w:r w:rsidR="009043B9">
        <w:rPr>
          <w:i/>
          <w:sz w:val="22"/>
          <w:szCs w:val="22"/>
        </w:rPr>
        <w:t>oručení finančního výboru města týkající se zákonného navýšení mezd, energií i cen služeb.</w:t>
      </w:r>
      <w:r w:rsidRPr="00E36B95">
        <w:rPr>
          <w:i/>
          <w:sz w:val="22"/>
          <w:szCs w:val="22"/>
        </w:rPr>
        <w:t xml:space="preserve"> Součástí běžných výdajů budou i velké</w:t>
      </w:r>
      <w:r w:rsidR="009043B9">
        <w:rPr>
          <w:i/>
          <w:sz w:val="22"/>
          <w:szCs w:val="22"/>
        </w:rPr>
        <w:t xml:space="preserve"> opravy a to opravy budov škol – střechy </w:t>
      </w:r>
      <w:proofErr w:type="gramStart"/>
      <w:r w:rsidRPr="00E36B95">
        <w:rPr>
          <w:i/>
          <w:sz w:val="22"/>
          <w:szCs w:val="22"/>
        </w:rPr>
        <w:t>čp.101</w:t>
      </w:r>
      <w:proofErr w:type="gramEnd"/>
      <w:r w:rsidRPr="00E36B95">
        <w:rPr>
          <w:i/>
          <w:sz w:val="22"/>
          <w:szCs w:val="22"/>
        </w:rPr>
        <w:t xml:space="preserve"> a 103</w:t>
      </w:r>
      <w:r w:rsidR="009043B9">
        <w:rPr>
          <w:i/>
          <w:sz w:val="22"/>
          <w:szCs w:val="22"/>
        </w:rPr>
        <w:t xml:space="preserve"> </w:t>
      </w:r>
      <w:r w:rsidRPr="00E36B95">
        <w:rPr>
          <w:i/>
          <w:sz w:val="22"/>
          <w:szCs w:val="22"/>
        </w:rPr>
        <w:t>(3.250 tis. Kč),  opravy bytového fondu (4.915 tis. Kč), nové vybavení knihovny (1.000 tis. Kč), obnova starého hřbitova (1.200 tis. Kč). Ve výdajích je počítáno s neinvestiční rozpočtovou rezervou ve výši 179 tis. Kč.</w:t>
      </w:r>
    </w:p>
    <w:p w:rsidR="00E36B95" w:rsidRPr="00E36B95" w:rsidRDefault="00E36B95" w:rsidP="00E36B95">
      <w:pPr>
        <w:ind w:left="180" w:firstLine="301"/>
        <w:jc w:val="both"/>
        <w:rPr>
          <w:i/>
          <w:sz w:val="22"/>
          <w:szCs w:val="22"/>
        </w:rPr>
      </w:pPr>
      <w:r w:rsidRPr="00E36B95">
        <w:rPr>
          <w:b/>
          <w:i/>
          <w:sz w:val="22"/>
          <w:szCs w:val="22"/>
        </w:rPr>
        <w:t>K rozpočtu kapitálových výdajů 2019:</w:t>
      </w:r>
      <w:r w:rsidRPr="00E36B95">
        <w:rPr>
          <w:i/>
          <w:sz w:val="22"/>
          <w:szCs w:val="22"/>
        </w:rPr>
        <w:t xml:space="preserve">  Kapitálové výdaje jsou navrženy v částce 59.432 tis. Kč.</w:t>
      </w:r>
      <w:r w:rsidRPr="00E36B95">
        <w:rPr>
          <w:b/>
          <w:i/>
          <w:sz w:val="22"/>
          <w:szCs w:val="22"/>
        </w:rPr>
        <w:t xml:space="preserve"> </w:t>
      </w:r>
      <w:r w:rsidRPr="00E36B95">
        <w:rPr>
          <w:i/>
          <w:sz w:val="22"/>
          <w:szCs w:val="22"/>
        </w:rPr>
        <w:t xml:space="preserve">Největší plánovanou akcí na rok 2019 ve spolupráci s Libereckým krajem je rekonstrukce Žižkovy ulice, podíl města počítá s částkou 18.000 tis. Kč. Druhá nejvyšší investiční částka ve výši 7.000 tis. Kč připadá na investiční rozvoj Sportovního centra Jilemnice, s.r.o. Část této platby (5.700 tis. Kč) byla již chválena ZM v roce 2018. Pokračuje obnova zahradního domku a vznik nové expozice (5.800 tis. Kč), projekt </w:t>
      </w:r>
      <w:r w:rsidR="009043B9">
        <w:rPr>
          <w:i/>
          <w:sz w:val="22"/>
          <w:szCs w:val="22"/>
        </w:rPr>
        <w:t>s dotací z IROP „R</w:t>
      </w:r>
      <w:r w:rsidRPr="00E36B95">
        <w:rPr>
          <w:i/>
          <w:sz w:val="22"/>
          <w:szCs w:val="22"/>
        </w:rPr>
        <w:t>ekonstrukce čp. 64 – rozvoj sociálních služeb</w:t>
      </w:r>
      <w:r w:rsidR="009043B9">
        <w:rPr>
          <w:i/>
          <w:sz w:val="22"/>
          <w:szCs w:val="22"/>
        </w:rPr>
        <w:t>“</w:t>
      </w:r>
      <w:r w:rsidRPr="00E36B95">
        <w:rPr>
          <w:i/>
          <w:sz w:val="22"/>
          <w:szCs w:val="22"/>
        </w:rPr>
        <w:t xml:space="preserve"> (6.200 tis. Kč), infrastruktura pro bytovou výstavbu v lokalitě Nouzov (4.600 tis. Kč), nová parkoviště (2.905 tis. Kč) a dofinancování vodovodního přivaděče „</w:t>
      </w:r>
      <w:proofErr w:type="spellStart"/>
      <w:r w:rsidRPr="00E36B95">
        <w:rPr>
          <w:i/>
          <w:sz w:val="22"/>
          <w:szCs w:val="22"/>
        </w:rPr>
        <w:t>Bátovka</w:t>
      </w:r>
      <w:proofErr w:type="spellEnd"/>
      <w:r w:rsidRPr="00E36B95">
        <w:rPr>
          <w:i/>
          <w:sz w:val="22"/>
          <w:szCs w:val="22"/>
        </w:rPr>
        <w:t xml:space="preserve">“ (2.000 tis. Kč). Nadále bude pokračovat příprava projektových dokumentací k akcím, které se budou realizovat v příštích letech (sociální byty, rekonstrukce MŠ Zámecká, cyklostezka, apod.). </w:t>
      </w:r>
    </w:p>
    <w:p w:rsidR="00E36B95" w:rsidRPr="00E36B95" w:rsidRDefault="00E36B95" w:rsidP="00E36B95">
      <w:pPr>
        <w:ind w:left="180" w:firstLine="301"/>
        <w:jc w:val="both"/>
        <w:rPr>
          <w:i/>
          <w:sz w:val="22"/>
          <w:szCs w:val="22"/>
        </w:rPr>
      </w:pPr>
      <w:r w:rsidRPr="00E36B95">
        <w:rPr>
          <w:i/>
          <w:sz w:val="22"/>
          <w:szCs w:val="22"/>
        </w:rPr>
        <w:t xml:space="preserve"> </w:t>
      </w:r>
      <w:r w:rsidRPr="00E36B95">
        <w:rPr>
          <w:b/>
          <w:i/>
          <w:sz w:val="22"/>
          <w:szCs w:val="22"/>
        </w:rPr>
        <w:t xml:space="preserve">Financování: </w:t>
      </w:r>
      <w:r w:rsidRPr="00E36B95">
        <w:rPr>
          <w:i/>
          <w:sz w:val="22"/>
          <w:szCs w:val="22"/>
        </w:rPr>
        <w:t xml:space="preserve">Do </w:t>
      </w:r>
      <w:r w:rsidR="009043B9">
        <w:rPr>
          <w:i/>
          <w:sz w:val="22"/>
          <w:szCs w:val="22"/>
        </w:rPr>
        <w:t xml:space="preserve">třídy </w:t>
      </w:r>
      <w:r w:rsidRPr="00E36B95">
        <w:rPr>
          <w:i/>
          <w:sz w:val="22"/>
          <w:szCs w:val="22"/>
        </w:rPr>
        <w:t>financování je zapojen celý přebytek hospodaření z roku 2018 ve výši 22.539 tis. Kč. V této části rozpočtu je rozpočtována dlouhodobá splátka projektu EPC ve výši 2.185 tis. Kč (konečná splatnost je 31. 12. 2026), není rozpočtována žádná splátka úvěru, neboť m</w:t>
      </w:r>
      <w:r w:rsidR="009043B9">
        <w:rPr>
          <w:i/>
          <w:sz w:val="22"/>
          <w:szCs w:val="22"/>
        </w:rPr>
        <w:t>ěsto Jilemnice nemá k 1. 1. 2019</w:t>
      </w:r>
      <w:r w:rsidRPr="00E36B95">
        <w:rPr>
          <w:i/>
          <w:sz w:val="22"/>
          <w:szCs w:val="22"/>
        </w:rPr>
        <w:t xml:space="preserve"> žádný nesplacený úvěr. Celkem je financování navrženo v částce 20.354 tis. Kč.</w:t>
      </w:r>
    </w:p>
    <w:p w:rsidR="00E36B95" w:rsidRPr="00E36B95" w:rsidRDefault="00E36B95" w:rsidP="00E36B95">
      <w:pPr>
        <w:ind w:left="170" w:firstLine="311"/>
        <w:jc w:val="both"/>
        <w:rPr>
          <w:i/>
          <w:sz w:val="22"/>
          <w:szCs w:val="22"/>
        </w:rPr>
      </w:pPr>
      <w:r w:rsidRPr="00E36B95">
        <w:rPr>
          <w:b/>
          <w:i/>
          <w:sz w:val="22"/>
          <w:szCs w:val="22"/>
        </w:rPr>
        <w:t xml:space="preserve"> Závěr: </w:t>
      </w:r>
      <w:r w:rsidRPr="00E36B95">
        <w:rPr>
          <w:i/>
          <w:sz w:val="22"/>
          <w:szCs w:val="22"/>
        </w:rPr>
        <w:t>Celkové příjmy na rok 2019 jsou navrhovány v částce 178.477 tis. Kč, celkové výdaje ve výši 198.831 tis. Kč. Rozdíl mezi příjmy a výdaji ve výši 20.354 tis. Kč je vyrovnán financováním</w:t>
      </w:r>
      <w:r w:rsidRPr="00E36B95">
        <w:rPr>
          <w:b/>
          <w:i/>
          <w:sz w:val="22"/>
          <w:szCs w:val="22"/>
        </w:rPr>
        <w:t xml:space="preserve">, </w:t>
      </w:r>
      <w:r w:rsidRPr="00E36B95">
        <w:rPr>
          <w:i/>
          <w:sz w:val="22"/>
          <w:szCs w:val="22"/>
        </w:rPr>
        <w:t>které tvoří přebytek hospodaření z roku 2018 ve výši 22.539 tis. Kč, snížený o splátku dlouhodobého závazku ve výši 2.185 tis. Kč.</w:t>
      </w:r>
    </w:p>
    <w:p w:rsidR="00E36B95" w:rsidRPr="00E36B95" w:rsidRDefault="00E36B95" w:rsidP="00E36B95">
      <w:pPr>
        <w:ind w:left="180"/>
        <w:jc w:val="both"/>
        <w:rPr>
          <w:i/>
          <w:sz w:val="22"/>
          <w:szCs w:val="22"/>
        </w:rPr>
      </w:pPr>
      <w:r w:rsidRPr="00E36B95">
        <w:rPr>
          <w:i/>
          <w:sz w:val="22"/>
          <w:szCs w:val="22"/>
        </w:rPr>
        <w:t xml:space="preserve">Návrh rozpočtu na rok 2019 projednal a doporučil ke schválení finanční výbor dne 28. 1. 2019. Rada města návrh finančního výboru projednala </w:t>
      </w:r>
      <w:r w:rsidR="00152B02" w:rsidRPr="00152B02">
        <w:rPr>
          <w:i/>
          <w:sz w:val="22"/>
          <w:szCs w:val="22"/>
        </w:rPr>
        <w:t xml:space="preserve">a doporučila ke schválení </w:t>
      </w:r>
      <w:r w:rsidRPr="00152B02">
        <w:rPr>
          <w:i/>
          <w:sz w:val="22"/>
          <w:szCs w:val="22"/>
        </w:rPr>
        <w:t>dne 30. 1. 2019.</w:t>
      </w:r>
      <w:r w:rsidRPr="00E36B95">
        <w:rPr>
          <w:i/>
          <w:sz w:val="22"/>
          <w:szCs w:val="22"/>
        </w:rPr>
        <w:t xml:space="preserve"> Návrh rozpočtu byl řádně vyvěšen na úřední desce a internetových stránkách města.</w:t>
      </w:r>
    </w:p>
    <w:p w:rsidR="00E36B95" w:rsidRPr="00E36B95" w:rsidRDefault="00E36B95" w:rsidP="00E36B95">
      <w:pPr>
        <w:pStyle w:val="Zkladntextodsazen"/>
        <w:ind w:firstLine="0"/>
        <w:jc w:val="both"/>
        <w:rPr>
          <w:b/>
          <w:sz w:val="22"/>
          <w:szCs w:val="22"/>
        </w:rPr>
      </w:pPr>
    </w:p>
    <w:p w:rsidR="00B51BA4" w:rsidRDefault="00B51BA4" w:rsidP="00ED41BA">
      <w:pPr>
        <w:ind w:left="170" w:firstLine="311"/>
        <w:jc w:val="both"/>
        <w:rPr>
          <w:sz w:val="20"/>
          <w:szCs w:val="20"/>
        </w:rPr>
      </w:pPr>
    </w:p>
    <w:tbl>
      <w:tblPr>
        <w:tblW w:w="9091" w:type="dxa"/>
        <w:tblInd w:w="55" w:type="dxa"/>
        <w:tblCellMar>
          <w:left w:w="70" w:type="dxa"/>
          <w:right w:w="70" w:type="dxa"/>
        </w:tblCellMar>
        <w:tblLook w:val="04A0" w:firstRow="1" w:lastRow="0" w:firstColumn="1" w:lastColumn="0" w:noHBand="0" w:noVBand="1"/>
      </w:tblPr>
      <w:tblGrid>
        <w:gridCol w:w="4126"/>
        <w:gridCol w:w="171"/>
        <w:gridCol w:w="741"/>
        <w:gridCol w:w="937"/>
        <w:gridCol w:w="158"/>
        <w:gridCol w:w="819"/>
        <w:gridCol w:w="2139"/>
      </w:tblGrid>
      <w:tr w:rsidR="00B51BA4" w:rsidTr="00B51BA4">
        <w:trPr>
          <w:trHeight w:val="315"/>
        </w:trPr>
        <w:tc>
          <w:tcPr>
            <w:tcW w:w="9091" w:type="dxa"/>
            <w:gridSpan w:val="7"/>
            <w:tcBorders>
              <w:top w:val="nil"/>
              <w:left w:val="nil"/>
              <w:bottom w:val="nil"/>
              <w:right w:val="nil"/>
            </w:tcBorders>
            <w:shd w:val="clear" w:color="000000" w:fill="FFFF99"/>
            <w:noWrap/>
            <w:vAlign w:val="bottom"/>
            <w:hideMark/>
          </w:tcPr>
          <w:p w:rsidR="00B51BA4" w:rsidRDefault="003B46CE">
            <w:pPr>
              <w:rPr>
                <w:rFonts w:ascii="Arial CE" w:hAnsi="Arial CE" w:cs="Arial CE"/>
                <w:b/>
                <w:bCs/>
              </w:rPr>
            </w:pPr>
            <w:r>
              <w:rPr>
                <w:rFonts w:ascii="Arial CE" w:hAnsi="Arial CE" w:cs="Arial CE"/>
                <w:b/>
                <w:bCs/>
              </w:rPr>
              <w:lastRenderedPageBreak/>
              <w:t>Město Jilemnice - základní údaje k hospodaření za rok 2018 a k rozpočtu 2019</w:t>
            </w:r>
          </w:p>
        </w:tc>
      </w:tr>
      <w:tr w:rsidR="00B51BA4" w:rsidTr="00B51BA4">
        <w:trPr>
          <w:trHeight w:val="210"/>
        </w:trPr>
        <w:tc>
          <w:tcPr>
            <w:tcW w:w="4297" w:type="dxa"/>
            <w:gridSpan w:val="2"/>
            <w:tcBorders>
              <w:top w:val="nil"/>
              <w:left w:val="nil"/>
              <w:bottom w:val="nil"/>
              <w:right w:val="nil"/>
            </w:tcBorders>
            <w:shd w:val="clear" w:color="auto" w:fill="auto"/>
            <w:noWrap/>
            <w:vAlign w:val="bottom"/>
            <w:hideMark/>
          </w:tcPr>
          <w:p w:rsidR="00B51BA4" w:rsidRDefault="00B51BA4">
            <w:pPr>
              <w:rPr>
                <w:rFonts w:ascii="Arial CE" w:hAnsi="Arial CE" w:cs="Arial CE"/>
                <w:b/>
                <w:bCs/>
              </w:rPr>
            </w:pPr>
          </w:p>
        </w:tc>
        <w:tc>
          <w:tcPr>
            <w:tcW w:w="741" w:type="dxa"/>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937" w:type="dxa"/>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977" w:type="dxa"/>
            <w:gridSpan w:val="2"/>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2139" w:type="dxa"/>
            <w:tcBorders>
              <w:top w:val="nil"/>
              <w:left w:val="nil"/>
              <w:bottom w:val="nil"/>
              <w:right w:val="nil"/>
            </w:tcBorders>
            <w:shd w:val="clear" w:color="auto" w:fill="auto"/>
            <w:noWrap/>
            <w:vAlign w:val="bottom"/>
            <w:hideMark/>
          </w:tcPr>
          <w:p w:rsidR="00B51BA4" w:rsidRDefault="00B51BA4">
            <w:pPr>
              <w:rPr>
                <w:rFonts w:ascii="Arial" w:hAnsi="Arial" w:cs="Arial"/>
                <w:sz w:val="16"/>
                <w:szCs w:val="16"/>
              </w:rPr>
            </w:pPr>
          </w:p>
        </w:tc>
      </w:tr>
      <w:tr w:rsidR="00B51BA4" w:rsidTr="00B51BA4">
        <w:trPr>
          <w:trHeight w:val="315"/>
        </w:trPr>
        <w:tc>
          <w:tcPr>
            <w:tcW w:w="9091" w:type="dxa"/>
            <w:gridSpan w:val="7"/>
            <w:tcBorders>
              <w:top w:val="nil"/>
              <w:left w:val="nil"/>
              <w:bottom w:val="nil"/>
              <w:right w:val="nil"/>
            </w:tcBorders>
            <w:shd w:val="clear" w:color="000000" w:fill="FFFF99"/>
            <w:noWrap/>
            <w:vAlign w:val="bottom"/>
            <w:hideMark/>
          </w:tcPr>
          <w:p w:rsidR="00B51BA4" w:rsidRDefault="003B46CE">
            <w:pPr>
              <w:rPr>
                <w:rFonts w:ascii="Arial CE" w:hAnsi="Arial CE" w:cs="Arial CE"/>
                <w:b/>
                <w:bCs/>
              </w:rPr>
            </w:pPr>
            <w:r>
              <w:rPr>
                <w:rFonts w:ascii="Arial CE" w:hAnsi="Arial CE" w:cs="Arial CE"/>
                <w:b/>
                <w:bCs/>
              </w:rPr>
              <w:t xml:space="preserve">1) Vyhodnocení přebytku hospodaření za rok 2018 </w:t>
            </w:r>
            <w:r>
              <w:rPr>
                <w:rFonts w:ascii="Arial CE" w:hAnsi="Arial CE" w:cs="Arial CE"/>
                <w:b/>
                <w:bCs/>
                <w:sz w:val="20"/>
                <w:szCs w:val="20"/>
              </w:rPr>
              <w:t>(tis. Kč.)</w:t>
            </w:r>
          </w:p>
        </w:tc>
      </w:tr>
      <w:tr w:rsidR="00B51BA4" w:rsidTr="00B51BA4">
        <w:trPr>
          <w:trHeight w:val="255"/>
        </w:trPr>
        <w:tc>
          <w:tcPr>
            <w:tcW w:w="5038" w:type="dxa"/>
            <w:gridSpan w:val="3"/>
            <w:tcBorders>
              <w:top w:val="nil"/>
              <w:left w:val="nil"/>
              <w:bottom w:val="nil"/>
              <w:right w:val="nil"/>
            </w:tcBorders>
            <w:shd w:val="clear" w:color="auto" w:fill="auto"/>
            <w:noWrap/>
            <w:vAlign w:val="bottom"/>
            <w:hideMark/>
          </w:tcPr>
          <w:p w:rsidR="00B51BA4" w:rsidRDefault="00B51BA4" w:rsidP="003B46CE">
            <w:pPr>
              <w:rPr>
                <w:rFonts w:ascii="Arial" w:hAnsi="Arial" w:cs="Arial"/>
                <w:b/>
                <w:bCs/>
                <w:sz w:val="20"/>
                <w:szCs w:val="20"/>
              </w:rPr>
            </w:pPr>
            <w:r>
              <w:rPr>
                <w:rFonts w:ascii="Arial" w:hAnsi="Arial" w:cs="Arial"/>
                <w:b/>
                <w:bCs/>
                <w:sz w:val="20"/>
                <w:szCs w:val="20"/>
              </w:rPr>
              <w:t>rozdíl mezi příjmy a výdaji za rok 201</w:t>
            </w:r>
            <w:r w:rsidR="003B46CE">
              <w:rPr>
                <w:rFonts w:ascii="Arial" w:hAnsi="Arial" w:cs="Arial"/>
                <w:b/>
                <w:bCs/>
                <w:sz w:val="20"/>
                <w:szCs w:val="20"/>
              </w:rPr>
              <w:t>8</w:t>
            </w:r>
          </w:p>
        </w:tc>
        <w:tc>
          <w:tcPr>
            <w:tcW w:w="1095" w:type="dxa"/>
            <w:gridSpan w:val="2"/>
            <w:tcBorders>
              <w:top w:val="nil"/>
              <w:left w:val="nil"/>
              <w:bottom w:val="nil"/>
              <w:right w:val="nil"/>
            </w:tcBorders>
            <w:shd w:val="clear" w:color="auto" w:fill="auto"/>
            <w:noWrap/>
            <w:vAlign w:val="bottom"/>
            <w:hideMark/>
          </w:tcPr>
          <w:p w:rsidR="00B51BA4" w:rsidRDefault="00B51BA4">
            <w:pPr>
              <w:rPr>
                <w:rFonts w:ascii="Arial" w:hAnsi="Arial" w:cs="Arial"/>
                <w:b/>
                <w:bCs/>
                <w:sz w:val="20"/>
                <w:szCs w:val="20"/>
              </w:rPr>
            </w:pPr>
          </w:p>
        </w:tc>
        <w:tc>
          <w:tcPr>
            <w:tcW w:w="819" w:type="dxa"/>
            <w:tcBorders>
              <w:top w:val="nil"/>
              <w:left w:val="nil"/>
              <w:bottom w:val="nil"/>
              <w:right w:val="nil"/>
            </w:tcBorders>
            <w:shd w:val="clear" w:color="auto" w:fill="auto"/>
            <w:noWrap/>
            <w:vAlign w:val="bottom"/>
            <w:hideMark/>
          </w:tcPr>
          <w:p w:rsidR="00B51BA4" w:rsidRDefault="003B46CE" w:rsidP="003B46CE">
            <w:pPr>
              <w:jc w:val="right"/>
              <w:rPr>
                <w:rFonts w:ascii="Arial CE" w:hAnsi="Arial CE" w:cs="Arial CE"/>
                <w:b/>
                <w:bCs/>
                <w:sz w:val="20"/>
                <w:szCs w:val="20"/>
              </w:rPr>
            </w:pPr>
            <w:r>
              <w:rPr>
                <w:rFonts w:ascii="Arial CE" w:hAnsi="Arial CE" w:cs="Arial CE"/>
                <w:b/>
                <w:bCs/>
                <w:sz w:val="20"/>
                <w:szCs w:val="20"/>
              </w:rPr>
              <w:t>-32 961</w:t>
            </w:r>
          </w:p>
        </w:tc>
        <w:tc>
          <w:tcPr>
            <w:tcW w:w="2139" w:type="dxa"/>
            <w:tcBorders>
              <w:top w:val="nil"/>
              <w:left w:val="nil"/>
              <w:bottom w:val="nil"/>
              <w:right w:val="nil"/>
            </w:tcBorders>
            <w:shd w:val="clear" w:color="auto" w:fill="auto"/>
            <w:noWrap/>
            <w:vAlign w:val="bottom"/>
            <w:hideMark/>
          </w:tcPr>
          <w:p w:rsidR="00B51BA4" w:rsidRDefault="00B51BA4">
            <w:pPr>
              <w:rPr>
                <w:rFonts w:ascii="Arial CE" w:hAnsi="Arial CE" w:cs="Arial CE"/>
                <w:sz w:val="16"/>
                <w:szCs w:val="16"/>
              </w:rPr>
            </w:pPr>
          </w:p>
        </w:tc>
      </w:tr>
      <w:tr w:rsidR="003B46CE" w:rsidTr="00B51BA4">
        <w:trPr>
          <w:trHeight w:val="255"/>
        </w:trPr>
        <w:tc>
          <w:tcPr>
            <w:tcW w:w="4297" w:type="dxa"/>
            <w:gridSpan w:val="2"/>
            <w:tcBorders>
              <w:top w:val="nil"/>
              <w:left w:val="nil"/>
              <w:bottom w:val="nil"/>
              <w:right w:val="nil"/>
            </w:tcBorders>
            <w:shd w:val="clear" w:color="auto" w:fill="auto"/>
            <w:noWrap/>
            <w:vAlign w:val="bottom"/>
          </w:tcPr>
          <w:p w:rsidR="003B46CE" w:rsidRPr="003B46CE" w:rsidRDefault="003B46CE">
            <w:pPr>
              <w:rPr>
                <w:rFonts w:ascii="Arial" w:hAnsi="Arial" w:cs="Arial"/>
                <w:bCs/>
                <w:sz w:val="20"/>
                <w:szCs w:val="20"/>
              </w:rPr>
            </w:pPr>
            <w:r w:rsidRPr="003B46CE">
              <w:rPr>
                <w:rFonts w:ascii="Arial" w:hAnsi="Arial" w:cs="Arial"/>
                <w:bCs/>
                <w:sz w:val="20"/>
                <w:szCs w:val="20"/>
              </w:rPr>
              <w:t>dlouhodobé splátky v roce 2018</w:t>
            </w:r>
          </w:p>
        </w:tc>
        <w:tc>
          <w:tcPr>
            <w:tcW w:w="741" w:type="dxa"/>
            <w:tcBorders>
              <w:top w:val="nil"/>
              <w:left w:val="nil"/>
              <w:bottom w:val="nil"/>
              <w:right w:val="nil"/>
            </w:tcBorders>
            <w:shd w:val="clear" w:color="auto" w:fill="auto"/>
            <w:noWrap/>
            <w:vAlign w:val="bottom"/>
          </w:tcPr>
          <w:p w:rsidR="003B46CE" w:rsidRDefault="003B46CE">
            <w:pPr>
              <w:rPr>
                <w:rFonts w:ascii="Arial" w:hAnsi="Arial" w:cs="Arial"/>
                <w:sz w:val="20"/>
                <w:szCs w:val="20"/>
              </w:rPr>
            </w:pPr>
          </w:p>
        </w:tc>
        <w:tc>
          <w:tcPr>
            <w:tcW w:w="1095" w:type="dxa"/>
            <w:gridSpan w:val="2"/>
            <w:tcBorders>
              <w:top w:val="nil"/>
              <w:left w:val="nil"/>
              <w:bottom w:val="nil"/>
              <w:right w:val="nil"/>
            </w:tcBorders>
            <w:shd w:val="clear" w:color="auto" w:fill="auto"/>
            <w:noWrap/>
            <w:vAlign w:val="bottom"/>
          </w:tcPr>
          <w:p w:rsidR="003B46CE" w:rsidRDefault="003B46CE">
            <w:pPr>
              <w:rPr>
                <w:rFonts w:ascii="Arial" w:hAnsi="Arial" w:cs="Arial"/>
                <w:sz w:val="20"/>
                <w:szCs w:val="20"/>
              </w:rPr>
            </w:pPr>
          </w:p>
        </w:tc>
        <w:tc>
          <w:tcPr>
            <w:tcW w:w="819" w:type="dxa"/>
            <w:tcBorders>
              <w:top w:val="nil"/>
              <w:left w:val="nil"/>
              <w:bottom w:val="nil"/>
              <w:right w:val="nil"/>
            </w:tcBorders>
            <w:shd w:val="clear" w:color="auto" w:fill="auto"/>
            <w:noWrap/>
            <w:vAlign w:val="bottom"/>
          </w:tcPr>
          <w:p w:rsidR="003B46CE" w:rsidRPr="003B46CE" w:rsidRDefault="003B46CE" w:rsidP="003B46CE">
            <w:pPr>
              <w:jc w:val="right"/>
              <w:rPr>
                <w:rFonts w:ascii="Arial CE" w:hAnsi="Arial CE" w:cs="Arial CE"/>
                <w:bCs/>
                <w:sz w:val="20"/>
                <w:szCs w:val="20"/>
              </w:rPr>
            </w:pPr>
            <w:r w:rsidRPr="003B46CE">
              <w:rPr>
                <w:rFonts w:ascii="Arial CE" w:hAnsi="Arial CE" w:cs="Arial CE"/>
                <w:bCs/>
                <w:sz w:val="20"/>
                <w:szCs w:val="20"/>
              </w:rPr>
              <w:t>-1 616</w:t>
            </w:r>
          </w:p>
        </w:tc>
        <w:tc>
          <w:tcPr>
            <w:tcW w:w="2139" w:type="dxa"/>
            <w:tcBorders>
              <w:top w:val="nil"/>
              <w:left w:val="nil"/>
              <w:bottom w:val="nil"/>
              <w:right w:val="nil"/>
            </w:tcBorders>
            <w:shd w:val="clear" w:color="auto" w:fill="auto"/>
            <w:noWrap/>
            <w:vAlign w:val="bottom"/>
          </w:tcPr>
          <w:p w:rsidR="003B46CE" w:rsidRPr="003B46CE" w:rsidRDefault="003B46CE">
            <w:pPr>
              <w:rPr>
                <w:rFonts w:ascii="Arial" w:hAnsi="Arial" w:cs="Arial"/>
                <w:sz w:val="20"/>
                <w:szCs w:val="20"/>
              </w:rPr>
            </w:pPr>
          </w:p>
        </w:tc>
      </w:tr>
      <w:tr w:rsidR="00B51BA4" w:rsidTr="00B51BA4">
        <w:trPr>
          <w:trHeight w:val="255"/>
        </w:trPr>
        <w:tc>
          <w:tcPr>
            <w:tcW w:w="4297" w:type="dxa"/>
            <w:gridSpan w:val="2"/>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r>
              <w:rPr>
                <w:rFonts w:ascii="Arial CE" w:hAnsi="Arial CE" w:cs="Arial CE"/>
                <w:sz w:val="20"/>
                <w:szCs w:val="20"/>
              </w:rPr>
              <w:t>zapojený přebytek z roku 201</w:t>
            </w:r>
            <w:r w:rsidR="003B46CE">
              <w:rPr>
                <w:rFonts w:ascii="Arial CE" w:hAnsi="Arial CE" w:cs="Arial CE"/>
                <w:sz w:val="20"/>
                <w:szCs w:val="20"/>
              </w:rPr>
              <w:t>7</w:t>
            </w:r>
          </w:p>
        </w:tc>
        <w:tc>
          <w:tcPr>
            <w:tcW w:w="741" w:type="dxa"/>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1095" w:type="dxa"/>
            <w:gridSpan w:val="2"/>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B51BA4" w:rsidRDefault="003B46CE">
            <w:pPr>
              <w:jc w:val="right"/>
              <w:rPr>
                <w:rFonts w:ascii="Arial CE" w:hAnsi="Arial CE" w:cs="Arial CE"/>
                <w:sz w:val="20"/>
                <w:szCs w:val="20"/>
              </w:rPr>
            </w:pPr>
            <w:r>
              <w:rPr>
                <w:rFonts w:ascii="Arial CE" w:hAnsi="Arial CE" w:cs="Arial CE"/>
                <w:sz w:val="20"/>
                <w:szCs w:val="20"/>
              </w:rPr>
              <w:t>57 116</w:t>
            </w:r>
          </w:p>
        </w:tc>
        <w:tc>
          <w:tcPr>
            <w:tcW w:w="2139" w:type="dxa"/>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r>
      <w:tr w:rsidR="00B51BA4" w:rsidTr="00B51BA4">
        <w:trPr>
          <w:trHeight w:val="255"/>
        </w:trPr>
        <w:tc>
          <w:tcPr>
            <w:tcW w:w="5038" w:type="dxa"/>
            <w:gridSpan w:val="3"/>
            <w:tcBorders>
              <w:top w:val="nil"/>
              <w:left w:val="nil"/>
              <w:bottom w:val="nil"/>
              <w:right w:val="nil"/>
            </w:tcBorders>
            <w:shd w:val="clear" w:color="auto" w:fill="auto"/>
            <w:noWrap/>
            <w:vAlign w:val="bottom"/>
            <w:hideMark/>
          </w:tcPr>
          <w:p w:rsidR="00B51BA4" w:rsidRDefault="00B51BA4" w:rsidP="003B46CE">
            <w:pPr>
              <w:rPr>
                <w:rFonts w:ascii="Arial CE" w:hAnsi="Arial CE" w:cs="Arial CE"/>
                <w:b/>
                <w:bCs/>
                <w:sz w:val="20"/>
                <w:szCs w:val="20"/>
              </w:rPr>
            </w:pPr>
            <w:r>
              <w:rPr>
                <w:rFonts w:ascii="Arial CE" w:hAnsi="Arial CE" w:cs="Arial CE"/>
                <w:b/>
                <w:bCs/>
                <w:sz w:val="20"/>
                <w:szCs w:val="20"/>
              </w:rPr>
              <w:t>celkový přebytek hospodaření za rok 201</w:t>
            </w:r>
            <w:r w:rsidR="003B46CE">
              <w:rPr>
                <w:rFonts w:ascii="Arial CE" w:hAnsi="Arial CE" w:cs="Arial CE"/>
                <w:b/>
                <w:bCs/>
                <w:sz w:val="20"/>
                <w:szCs w:val="20"/>
              </w:rPr>
              <w:t>8</w:t>
            </w:r>
          </w:p>
        </w:tc>
        <w:tc>
          <w:tcPr>
            <w:tcW w:w="1095" w:type="dxa"/>
            <w:gridSpan w:val="2"/>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B51BA4" w:rsidRDefault="003B46CE">
            <w:pPr>
              <w:jc w:val="right"/>
              <w:rPr>
                <w:rFonts w:ascii="Arial CE" w:hAnsi="Arial CE" w:cs="Arial CE"/>
                <w:b/>
                <w:bCs/>
                <w:sz w:val="20"/>
                <w:szCs w:val="20"/>
              </w:rPr>
            </w:pPr>
            <w:r>
              <w:rPr>
                <w:rFonts w:ascii="Arial CE" w:hAnsi="Arial CE" w:cs="Arial CE"/>
                <w:b/>
                <w:bCs/>
                <w:sz w:val="20"/>
                <w:szCs w:val="20"/>
              </w:rPr>
              <w:t>22 539</w:t>
            </w:r>
          </w:p>
        </w:tc>
        <w:tc>
          <w:tcPr>
            <w:tcW w:w="2139" w:type="dxa"/>
            <w:tcBorders>
              <w:top w:val="nil"/>
              <w:left w:val="nil"/>
              <w:bottom w:val="nil"/>
              <w:right w:val="nil"/>
            </w:tcBorders>
            <w:shd w:val="clear" w:color="auto" w:fill="auto"/>
            <w:noWrap/>
            <w:vAlign w:val="bottom"/>
            <w:hideMark/>
          </w:tcPr>
          <w:p w:rsidR="00B51BA4" w:rsidRDefault="00B51BA4">
            <w:pPr>
              <w:rPr>
                <w:rFonts w:ascii="Arial CE" w:hAnsi="Arial CE" w:cs="Arial CE"/>
                <w:b/>
                <w:bCs/>
                <w:sz w:val="16"/>
                <w:szCs w:val="16"/>
              </w:rPr>
            </w:pPr>
          </w:p>
        </w:tc>
      </w:tr>
      <w:tr w:rsidR="00B51BA4" w:rsidTr="00B51BA4">
        <w:trPr>
          <w:trHeight w:val="150"/>
        </w:trPr>
        <w:tc>
          <w:tcPr>
            <w:tcW w:w="4126" w:type="dxa"/>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912" w:type="dxa"/>
            <w:gridSpan w:val="2"/>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1095" w:type="dxa"/>
            <w:gridSpan w:val="2"/>
            <w:tcBorders>
              <w:top w:val="nil"/>
              <w:left w:val="nil"/>
              <w:bottom w:val="nil"/>
              <w:right w:val="nil"/>
            </w:tcBorders>
            <w:shd w:val="clear" w:color="auto" w:fill="auto"/>
            <w:noWrap/>
            <w:vAlign w:val="bottom"/>
            <w:hideMark/>
          </w:tcPr>
          <w:p w:rsidR="00B51BA4" w:rsidRDefault="00B51BA4">
            <w:pPr>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B51BA4" w:rsidRDefault="00B51BA4">
            <w:pPr>
              <w:rPr>
                <w:rFonts w:ascii="Arial" w:hAnsi="Arial" w:cs="Arial"/>
                <w:b/>
                <w:bCs/>
                <w:sz w:val="20"/>
                <w:szCs w:val="20"/>
              </w:rPr>
            </w:pPr>
          </w:p>
        </w:tc>
        <w:tc>
          <w:tcPr>
            <w:tcW w:w="2139" w:type="dxa"/>
            <w:tcBorders>
              <w:top w:val="nil"/>
              <w:left w:val="nil"/>
              <w:bottom w:val="nil"/>
              <w:right w:val="nil"/>
            </w:tcBorders>
            <w:shd w:val="clear" w:color="auto" w:fill="auto"/>
            <w:noWrap/>
            <w:vAlign w:val="bottom"/>
            <w:hideMark/>
          </w:tcPr>
          <w:p w:rsidR="00B51BA4" w:rsidRDefault="00B51BA4">
            <w:pPr>
              <w:rPr>
                <w:rFonts w:ascii="Arial" w:hAnsi="Arial" w:cs="Arial"/>
                <w:sz w:val="16"/>
                <w:szCs w:val="16"/>
              </w:rPr>
            </w:pPr>
          </w:p>
        </w:tc>
      </w:tr>
      <w:tr w:rsidR="00B51BA4" w:rsidTr="00B51BA4">
        <w:trPr>
          <w:trHeight w:val="255"/>
        </w:trPr>
        <w:tc>
          <w:tcPr>
            <w:tcW w:w="4126" w:type="dxa"/>
            <w:tcBorders>
              <w:top w:val="single" w:sz="8" w:space="0" w:color="auto"/>
              <w:left w:val="single" w:sz="8" w:space="0" w:color="auto"/>
              <w:bottom w:val="nil"/>
              <w:right w:val="single" w:sz="4" w:space="0" w:color="auto"/>
            </w:tcBorders>
            <w:shd w:val="clear" w:color="auto" w:fill="auto"/>
            <w:noWrap/>
            <w:vAlign w:val="bottom"/>
            <w:hideMark/>
          </w:tcPr>
          <w:p w:rsidR="00B51BA4" w:rsidRDefault="00B51BA4">
            <w:pPr>
              <w:rPr>
                <w:rFonts w:ascii="Arial" w:hAnsi="Arial" w:cs="Arial"/>
                <w:b/>
                <w:bCs/>
                <w:sz w:val="20"/>
                <w:szCs w:val="20"/>
              </w:rPr>
            </w:pPr>
            <w:r>
              <w:rPr>
                <w:rFonts w:ascii="Arial" w:hAnsi="Arial" w:cs="Arial"/>
                <w:b/>
                <w:bCs/>
                <w:sz w:val="20"/>
                <w:szCs w:val="20"/>
              </w:rPr>
              <w:t>činnosti</w:t>
            </w:r>
          </w:p>
        </w:tc>
        <w:tc>
          <w:tcPr>
            <w:tcW w:w="912" w:type="dxa"/>
            <w:gridSpan w:val="2"/>
            <w:tcBorders>
              <w:top w:val="single" w:sz="8" w:space="0" w:color="auto"/>
              <w:left w:val="nil"/>
              <w:bottom w:val="nil"/>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vyšší</w:t>
            </w:r>
          </w:p>
        </w:tc>
        <w:tc>
          <w:tcPr>
            <w:tcW w:w="1095" w:type="dxa"/>
            <w:gridSpan w:val="2"/>
            <w:tcBorders>
              <w:top w:val="single" w:sz="8" w:space="0" w:color="auto"/>
              <w:left w:val="nil"/>
              <w:bottom w:val="nil"/>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 xml:space="preserve">ušetřené </w:t>
            </w:r>
          </w:p>
        </w:tc>
        <w:tc>
          <w:tcPr>
            <w:tcW w:w="819" w:type="dxa"/>
            <w:tcBorders>
              <w:top w:val="single" w:sz="8" w:space="0" w:color="auto"/>
              <w:left w:val="nil"/>
              <w:bottom w:val="nil"/>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saldo</w:t>
            </w:r>
          </w:p>
        </w:tc>
        <w:tc>
          <w:tcPr>
            <w:tcW w:w="2139" w:type="dxa"/>
            <w:tcBorders>
              <w:top w:val="single" w:sz="8" w:space="0" w:color="auto"/>
              <w:left w:val="nil"/>
              <w:bottom w:val="nil"/>
              <w:right w:val="single" w:sz="8" w:space="0" w:color="auto"/>
            </w:tcBorders>
            <w:shd w:val="clear" w:color="auto" w:fill="auto"/>
            <w:noWrap/>
            <w:vAlign w:val="bottom"/>
            <w:hideMark/>
          </w:tcPr>
          <w:p w:rsidR="00B51BA4" w:rsidRDefault="00B51BA4">
            <w:pPr>
              <w:rPr>
                <w:rFonts w:ascii="Arial" w:hAnsi="Arial" w:cs="Arial"/>
                <w:b/>
                <w:bCs/>
                <w:sz w:val="20"/>
                <w:szCs w:val="20"/>
              </w:rPr>
            </w:pPr>
            <w:r>
              <w:rPr>
                <w:rFonts w:ascii="Arial" w:hAnsi="Arial" w:cs="Arial"/>
                <w:b/>
                <w:bCs/>
                <w:sz w:val="20"/>
                <w:szCs w:val="20"/>
              </w:rPr>
              <w:t>poznámka</w:t>
            </w:r>
          </w:p>
        </w:tc>
      </w:tr>
      <w:tr w:rsidR="00B51BA4" w:rsidTr="00B51BA4">
        <w:trPr>
          <w:trHeight w:val="255"/>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B51BA4" w:rsidRDefault="00B51BA4">
            <w:pPr>
              <w:rPr>
                <w:rFonts w:ascii="Arial" w:hAnsi="Arial" w:cs="Arial"/>
                <w:b/>
                <w:bCs/>
                <w:sz w:val="20"/>
                <w:szCs w:val="20"/>
              </w:rPr>
            </w:pPr>
            <w:r>
              <w:rPr>
                <w:rFonts w:ascii="Arial" w:hAnsi="Arial" w:cs="Arial"/>
                <w:b/>
                <w:bCs/>
                <w:sz w:val="20"/>
                <w:szCs w:val="20"/>
              </w:rPr>
              <w:t> </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příjmy</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výdaje</w:t>
            </w:r>
          </w:p>
        </w:tc>
        <w:tc>
          <w:tcPr>
            <w:tcW w:w="819" w:type="dxa"/>
            <w:tcBorders>
              <w:top w:val="nil"/>
              <w:left w:val="nil"/>
              <w:bottom w:val="single" w:sz="4" w:space="0" w:color="auto"/>
              <w:right w:val="single" w:sz="4" w:space="0" w:color="auto"/>
            </w:tcBorders>
            <w:shd w:val="clear" w:color="auto" w:fill="auto"/>
            <w:noWrap/>
            <w:vAlign w:val="bottom"/>
            <w:hideMark/>
          </w:tcPr>
          <w:p w:rsidR="00B51BA4" w:rsidRDefault="00B51BA4">
            <w:pPr>
              <w:jc w:val="center"/>
              <w:rPr>
                <w:rFonts w:ascii="Arial" w:hAnsi="Arial" w:cs="Arial"/>
                <w:b/>
                <w:bCs/>
                <w:sz w:val="20"/>
                <w:szCs w:val="20"/>
              </w:rPr>
            </w:pPr>
            <w:r>
              <w:rPr>
                <w:rFonts w:ascii="Arial" w:hAnsi="Arial" w:cs="Arial"/>
                <w:b/>
                <w:bCs/>
                <w:sz w:val="20"/>
                <w:szCs w:val="20"/>
              </w:rPr>
              <w:t>celkem</w:t>
            </w:r>
          </w:p>
        </w:tc>
        <w:tc>
          <w:tcPr>
            <w:tcW w:w="2139" w:type="dxa"/>
            <w:tcBorders>
              <w:top w:val="nil"/>
              <w:left w:val="nil"/>
              <w:bottom w:val="single" w:sz="4" w:space="0" w:color="auto"/>
              <w:right w:val="single" w:sz="8" w:space="0" w:color="auto"/>
            </w:tcBorders>
            <w:shd w:val="clear" w:color="auto" w:fill="auto"/>
            <w:noWrap/>
            <w:vAlign w:val="bottom"/>
            <w:hideMark/>
          </w:tcPr>
          <w:p w:rsidR="00B51BA4" w:rsidRDefault="00B51BA4">
            <w:pPr>
              <w:rPr>
                <w:rFonts w:ascii="Arial" w:hAnsi="Arial" w:cs="Arial"/>
                <w:b/>
                <w:bCs/>
                <w:sz w:val="16"/>
                <w:szCs w:val="16"/>
              </w:rPr>
            </w:pPr>
            <w:r>
              <w:rPr>
                <w:rFonts w:ascii="Arial" w:hAnsi="Arial" w:cs="Arial"/>
                <w:b/>
                <w:bCs/>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daňové příjmy</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3 677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3 677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proofErr w:type="gramStart"/>
            <w:r>
              <w:rPr>
                <w:rFonts w:ascii="Arial" w:hAnsi="Arial" w:cs="Arial"/>
                <w:sz w:val="20"/>
                <w:szCs w:val="20"/>
              </w:rPr>
              <w:t>lesnictví , lom</w:t>
            </w:r>
            <w:proofErr w:type="gramEnd"/>
            <w:r>
              <w:rPr>
                <w:rFonts w:ascii="Arial" w:hAnsi="Arial" w:cs="Arial"/>
                <w:sz w:val="20"/>
                <w:szCs w:val="20"/>
              </w:rPr>
              <w:t xml:space="preserve"> revitalizace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650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875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1 525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xml:space="preserve">správní a místní poplatky </w:t>
            </w:r>
            <w:proofErr w:type="spellStart"/>
            <w:r>
              <w:rPr>
                <w:rFonts w:ascii="Arial" w:hAnsi="Arial" w:cs="Arial"/>
                <w:sz w:val="20"/>
                <w:szCs w:val="20"/>
              </w:rPr>
              <w:t>poplatky</w:t>
            </w:r>
            <w:proofErr w:type="spellEnd"/>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330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330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komunální odpad (poplatek, kompenzace)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267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36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303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Pr="005C1DB9" w:rsidRDefault="005C1DB9">
            <w:pPr>
              <w:rPr>
                <w:rFonts w:ascii="Arial CE" w:hAnsi="Arial CE" w:cs="Arial CE"/>
                <w:sz w:val="20"/>
                <w:szCs w:val="20"/>
              </w:rPr>
            </w:pPr>
            <w:r>
              <w:rPr>
                <w:rFonts w:ascii="Arial CE" w:hAnsi="Arial CE" w:cs="Arial CE"/>
                <w:sz w:val="20"/>
                <w:szCs w:val="20"/>
              </w:rPr>
              <w:t>ú</w:t>
            </w:r>
            <w:r w:rsidR="003B46CE" w:rsidRPr="005C1DB9">
              <w:rPr>
                <w:rFonts w:ascii="Arial CE" w:hAnsi="Arial CE" w:cs="Arial CE"/>
                <w:sz w:val="20"/>
                <w:szCs w:val="20"/>
              </w:rPr>
              <w:t>hrada za energetická opatření SC, s.r.o</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202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202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daň z hazardu, odvod z hracích přístrojů</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186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186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nájemné ostatní</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169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169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Pr="005C1DB9" w:rsidRDefault="003B46CE">
            <w:pPr>
              <w:rPr>
                <w:rFonts w:ascii="Arial CE" w:hAnsi="Arial CE" w:cs="Arial CE"/>
                <w:sz w:val="20"/>
                <w:szCs w:val="20"/>
              </w:rPr>
            </w:pPr>
            <w:r w:rsidRPr="005C1DB9">
              <w:rPr>
                <w:rFonts w:ascii="Arial CE" w:hAnsi="Arial CE" w:cs="Arial CE"/>
                <w:sz w:val="20"/>
                <w:szCs w:val="20"/>
              </w:rPr>
              <w:t xml:space="preserve">příjem ze zrušené ZŠ </w:t>
            </w:r>
            <w:proofErr w:type="spellStart"/>
            <w:proofErr w:type="gramStart"/>
            <w:r w:rsidRPr="005C1DB9">
              <w:rPr>
                <w:rFonts w:ascii="Arial CE" w:hAnsi="Arial CE" w:cs="Arial CE"/>
                <w:sz w:val="20"/>
                <w:szCs w:val="20"/>
              </w:rPr>
              <w:t>spec</w:t>
            </w:r>
            <w:proofErr w:type="spellEnd"/>
            <w:r w:rsidRPr="005C1DB9">
              <w:rPr>
                <w:rFonts w:ascii="Arial CE" w:hAnsi="Arial CE" w:cs="Arial CE"/>
                <w:sz w:val="20"/>
                <w:szCs w:val="20"/>
              </w:rPr>
              <w:t>. a MŠ</w:t>
            </w:r>
            <w:proofErr w:type="gramEnd"/>
            <w:r w:rsidRPr="005C1DB9">
              <w:rPr>
                <w:rFonts w:ascii="Arial CE" w:hAnsi="Arial CE" w:cs="Arial CE"/>
                <w:sz w:val="20"/>
                <w:szCs w:val="20"/>
              </w:rPr>
              <w:t xml:space="preserve"> </w:t>
            </w:r>
            <w:proofErr w:type="spellStart"/>
            <w:r w:rsidRPr="005C1DB9">
              <w:rPr>
                <w:rFonts w:ascii="Arial CE" w:hAnsi="Arial CE" w:cs="Arial CE"/>
                <w:sz w:val="20"/>
                <w:szCs w:val="20"/>
              </w:rPr>
              <w:t>spec</w:t>
            </w:r>
            <w:proofErr w:type="spellEnd"/>
            <w:r w:rsidRPr="005C1DB9">
              <w:rPr>
                <w:rFonts w:ascii="Arial CE" w:hAnsi="Arial CE" w:cs="Arial CE"/>
                <w:sz w:val="20"/>
                <w:szCs w:val="20"/>
              </w:rPr>
              <w:t>.</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146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146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areál služeb</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131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149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280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odvody příspěvkových organizací</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118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-118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xml:space="preserve">činnost místní správy, </w:t>
            </w:r>
            <w:proofErr w:type="spellStart"/>
            <w:r>
              <w:rPr>
                <w:rFonts w:ascii="Arial" w:hAnsi="Arial" w:cs="Arial"/>
                <w:sz w:val="20"/>
                <w:szCs w:val="20"/>
              </w:rPr>
              <w:t>veřejnospr</w:t>
            </w:r>
            <w:proofErr w:type="spellEnd"/>
            <w:r>
              <w:rPr>
                <w:rFonts w:ascii="Arial" w:hAnsi="Arial" w:cs="Arial"/>
                <w:sz w:val="20"/>
                <w:szCs w:val="20"/>
              </w:rPr>
              <w:t>. smlouvy</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99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2 593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2 692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pečovatelská služba, soc. péče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78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718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796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sankční platby</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-660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-660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bytové hospodářství - nájem, služby</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-735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586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-149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xml:space="preserve">prodej majetku, bytů, pozemků </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-5 357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color w:val="FF0000"/>
                <w:sz w:val="20"/>
                <w:szCs w:val="20"/>
              </w:rPr>
              <w:t xml:space="preserve">-5 357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xml:space="preserve">vliv </w:t>
            </w:r>
            <w:proofErr w:type="gramStart"/>
            <w:r>
              <w:rPr>
                <w:rFonts w:ascii="Arial" w:hAnsi="Arial" w:cs="Arial"/>
                <w:sz w:val="16"/>
                <w:szCs w:val="16"/>
              </w:rPr>
              <w:t>čp.21</w:t>
            </w:r>
            <w:proofErr w:type="gramEnd"/>
            <w:r>
              <w:rPr>
                <w:rFonts w:ascii="Arial" w:hAnsi="Arial" w:cs="Arial"/>
                <w:sz w:val="16"/>
                <w:szCs w:val="16"/>
              </w:rPr>
              <w:t>, pozemků Nouzov</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Pr="005C1DB9" w:rsidRDefault="005C1DB9">
            <w:pPr>
              <w:rPr>
                <w:rFonts w:ascii="Arial CE" w:hAnsi="Arial CE" w:cs="Arial CE"/>
                <w:sz w:val="20"/>
                <w:szCs w:val="20"/>
              </w:rPr>
            </w:pPr>
            <w:r>
              <w:rPr>
                <w:rFonts w:ascii="Arial CE" w:hAnsi="Arial CE" w:cs="Arial CE"/>
                <w:sz w:val="20"/>
                <w:szCs w:val="20"/>
              </w:rPr>
              <w:t>ch</w:t>
            </w:r>
            <w:r w:rsidR="003B46CE" w:rsidRPr="005C1DB9">
              <w:rPr>
                <w:rFonts w:ascii="Arial CE" w:hAnsi="Arial CE" w:cs="Arial CE"/>
                <w:sz w:val="20"/>
                <w:szCs w:val="20"/>
              </w:rPr>
              <w:t>odník Čsl. Legií - zvýšení bezpečnosti</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2 993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2 993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částečný 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doprava (údržba, stavby a projekce)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2 810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2 810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částečný 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Pr="005C1DB9" w:rsidRDefault="005C1DB9">
            <w:pPr>
              <w:rPr>
                <w:rFonts w:ascii="Arial CE" w:hAnsi="Arial CE" w:cs="Arial CE"/>
                <w:sz w:val="20"/>
                <w:szCs w:val="20"/>
              </w:rPr>
            </w:pPr>
            <w:r>
              <w:rPr>
                <w:rFonts w:ascii="Arial CE" w:hAnsi="Arial CE" w:cs="Arial CE"/>
                <w:sz w:val="20"/>
                <w:szCs w:val="20"/>
              </w:rPr>
              <w:t>p</w:t>
            </w:r>
            <w:r w:rsidR="003B46CE" w:rsidRPr="005C1DB9">
              <w:rPr>
                <w:rFonts w:ascii="Arial CE" w:hAnsi="Arial CE" w:cs="Arial CE"/>
                <w:sz w:val="20"/>
                <w:szCs w:val="20"/>
              </w:rPr>
              <w:t>říprava území k bytové výstavbě - Nouzov</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1 757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1 757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projekty  OPLZZ správy (MA21 a Podpora soc. práce)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1 478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1 478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částečný 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opravy čp. 85</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1 423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1 423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xml:space="preserve">ZŠ </w:t>
            </w:r>
            <w:proofErr w:type="spellStart"/>
            <w:r>
              <w:rPr>
                <w:rFonts w:ascii="Arial" w:hAnsi="Arial" w:cs="Arial"/>
                <w:sz w:val="20"/>
                <w:szCs w:val="20"/>
              </w:rPr>
              <w:t>Harracha</w:t>
            </w:r>
            <w:proofErr w:type="spellEnd"/>
            <w:r>
              <w:rPr>
                <w:rFonts w:ascii="Arial" w:hAnsi="Arial" w:cs="Arial"/>
                <w:sz w:val="20"/>
                <w:szCs w:val="20"/>
              </w:rPr>
              <w:t xml:space="preserve"> - </w:t>
            </w:r>
            <w:r w:rsidRPr="003B46CE">
              <w:rPr>
                <w:rFonts w:ascii="Arial" w:hAnsi="Arial" w:cs="Arial"/>
                <w:sz w:val="16"/>
                <w:szCs w:val="16"/>
              </w:rPr>
              <w:t>účelový příspěvek na horolezeckou stěnu a IROP</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1 200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1 200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rekonstrukce čp. 259 -prostory pro knihovnu</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1 050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1 050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školní stravování</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857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857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zámecký park - podium, cesty</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833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833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CE" w:hAnsi="Arial CE" w:cs="Arial CE"/>
                <w:sz w:val="20"/>
                <w:szCs w:val="20"/>
              </w:rPr>
            </w:pPr>
            <w:r>
              <w:rPr>
                <w:rFonts w:ascii="Arial CE" w:hAnsi="Arial CE" w:cs="Arial CE"/>
                <w:sz w:val="20"/>
                <w:szCs w:val="20"/>
              </w:rPr>
              <w:t>komunální služby</w:t>
            </w:r>
            <w:r w:rsidRPr="003B46CE">
              <w:rPr>
                <w:rFonts w:ascii="Arial CE" w:hAnsi="Arial CE" w:cs="Arial CE"/>
                <w:sz w:val="16"/>
                <w:szCs w:val="16"/>
              </w:rPr>
              <w:t xml:space="preserve">, veř. </w:t>
            </w:r>
            <w:proofErr w:type="gramStart"/>
            <w:r w:rsidRPr="003B46CE">
              <w:rPr>
                <w:rFonts w:ascii="Arial CE" w:hAnsi="Arial CE" w:cs="Arial CE"/>
                <w:sz w:val="16"/>
                <w:szCs w:val="16"/>
              </w:rPr>
              <w:t>osvětlení</w:t>
            </w:r>
            <w:proofErr w:type="gramEnd"/>
            <w:r w:rsidRPr="003B46CE">
              <w:rPr>
                <w:rFonts w:ascii="Arial CE" w:hAnsi="Arial CE" w:cs="Arial CE"/>
                <w:sz w:val="16"/>
                <w:szCs w:val="16"/>
              </w:rPr>
              <w:t>, pohřebnictví</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666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666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4" w:space="0" w:color="auto"/>
              <w:bottom w:val="nil"/>
              <w:right w:val="nil"/>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finanční operace</w:t>
            </w:r>
          </w:p>
        </w:tc>
        <w:tc>
          <w:tcPr>
            <w:tcW w:w="912" w:type="dxa"/>
            <w:gridSpan w:val="2"/>
            <w:tcBorders>
              <w:top w:val="nil"/>
              <w:left w:val="single" w:sz="4"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612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612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tcPr>
          <w:p w:rsidR="003B46CE" w:rsidRDefault="003B46CE">
            <w:pPr>
              <w:rPr>
                <w:rFonts w:ascii="Arial" w:hAnsi="Arial" w:cs="Arial"/>
                <w:sz w:val="20"/>
                <w:szCs w:val="20"/>
              </w:rPr>
            </w:pPr>
            <w:r>
              <w:rPr>
                <w:rFonts w:ascii="Arial" w:hAnsi="Arial" w:cs="Arial"/>
                <w:sz w:val="20"/>
                <w:szCs w:val="20"/>
              </w:rPr>
              <w:t>památková péče</w:t>
            </w:r>
          </w:p>
        </w:tc>
        <w:tc>
          <w:tcPr>
            <w:tcW w:w="912" w:type="dxa"/>
            <w:gridSpan w:val="2"/>
            <w:tcBorders>
              <w:top w:val="nil"/>
              <w:left w:val="nil"/>
              <w:bottom w:val="nil"/>
              <w:right w:val="single" w:sz="4" w:space="0" w:color="auto"/>
            </w:tcBorders>
            <w:shd w:val="clear" w:color="auto" w:fill="auto"/>
            <w:noWrap/>
            <w:vAlign w:val="bottom"/>
          </w:tcPr>
          <w:p w:rsidR="003B46CE" w:rsidRDefault="003B46CE">
            <w:pPr>
              <w:rPr>
                <w:rFonts w:ascii="Arial" w:hAnsi="Arial" w:cs="Arial"/>
                <w:sz w:val="20"/>
                <w:szCs w:val="20"/>
              </w:rPr>
            </w:pPr>
          </w:p>
        </w:tc>
        <w:tc>
          <w:tcPr>
            <w:tcW w:w="1095" w:type="dxa"/>
            <w:gridSpan w:val="2"/>
            <w:tcBorders>
              <w:top w:val="nil"/>
              <w:left w:val="nil"/>
              <w:bottom w:val="nil"/>
              <w:right w:val="single" w:sz="4" w:space="0" w:color="auto"/>
            </w:tcBorders>
            <w:shd w:val="clear" w:color="auto" w:fill="auto"/>
            <w:noWrap/>
            <w:vAlign w:val="bottom"/>
          </w:tcPr>
          <w:p w:rsidR="003B46CE" w:rsidRDefault="003B46CE">
            <w:pPr>
              <w:jc w:val="right"/>
              <w:rPr>
                <w:rFonts w:ascii="Arial" w:hAnsi="Arial" w:cs="Arial"/>
                <w:sz w:val="20"/>
                <w:szCs w:val="20"/>
              </w:rPr>
            </w:pPr>
            <w:r>
              <w:rPr>
                <w:rFonts w:ascii="Arial" w:hAnsi="Arial" w:cs="Arial"/>
                <w:sz w:val="20"/>
                <w:szCs w:val="20"/>
              </w:rPr>
              <w:t xml:space="preserve">580 </w:t>
            </w:r>
          </w:p>
        </w:tc>
        <w:tc>
          <w:tcPr>
            <w:tcW w:w="819" w:type="dxa"/>
            <w:tcBorders>
              <w:top w:val="nil"/>
              <w:left w:val="nil"/>
              <w:bottom w:val="nil"/>
              <w:right w:val="single" w:sz="4" w:space="0" w:color="auto"/>
            </w:tcBorders>
            <w:shd w:val="clear" w:color="auto" w:fill="auto"/>
            <w:noWrap/>
            <w:vAlign w:val="bottom"/>
          </w:tcPr>
          <w:p w:rsidR="003B46CE" w:rsidRDefault="003B46CE">
            <w:pPr>
              <w:jc w:val="right"/>
              <w:rPr>
                <w:rFonts w:ascii="Arial" w:hAnsi="Arial" w:cs="Arial"/>
                <w:sz w:val="20"/>
                <w:szCs w:val="20"/>
              </w:rPr>
            </w:pPr>
            <w:r>
              <w:rPr>
                <w:rFonts w:ascii="Arial" w:hAnsi="Arial" w:cs="Arial"/>
                <w:sz w:val="20"/>
                <w:szCs w:val="20"/>
              </w:rPr>
              <w:t xml:space="preserve">580 </w:t>
            </w:r>
          </w:p>
        </w:tc>
        <w:tc>
          <w:tcPr>
            <w:tcW w:w="2139" w:type="dxa"/>
            <w:tcBorders>
              <w:top w:val="nil"/>
              <w:left w:val="nil"/>
              <w:bottom w:val="nil"/>
              <w:right w:val="single" w:sz="8" w:space="0" w:color="auto"/>
            </w:tcBorders>
            <w:shd w:val="clear" w:color="auto" w:fill="auto"/>
            <w:noWrap/>
            <w:vAlign w:val="bottom"/>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tcPr>
          <w:p w:rsidR="003B46CE" w:rsidRDefault="003B46CE">
            <w:pPr>
              <w:rPr>
                <w:rFonts w:ascii="Arial" w:hAnsi="Arial" w:cs="Arial"/>
                <w:sz w:val="20"/>
                <w:szCs w:val="20"/>
              </w:rPr>
            </w:pPr>
            <w:r>
              <w:rPr>
                <w:rFonts w:ascii="Arial" w:hAnsi="Arial" w:cs="Arial"/>
                <w:sz w:val="20"/>
                <w:szCs w:val="20"/>
              </w:rPr>
              <w:t>veřejná zeleň, projekty ŽP</w:t>
            </w:r>
          </w:p>
        </w:tc>
        <w:tc>
          <w:tcPr>
            <w:tcW w:w="912" w:type="dxa"/>
            <w:gridSpan w:val="2"/>
            <w:tcBorders>
              <w:top w:val="nil"/>
              <w:left w:val="nil"/>
              <w:bottom w:val="nil"/>
              <w:right w:val="single" w:sz="4" w:space="0" w:color="auto"/>
            </w:tcBorders>
            <w:shd w:val="clear" w:color="auto" w:fill="auto"/>
            <w:noWrap/>
            <w:vAlign w:val="bottom"/>
          </w:tcPr>
          <w:p w:rsidR="003B46CE" w:rsidRDefault="003B46CE">
            <w:pPr>
              <w:rPr>
                <w:rFonts w:ascii="Arial" w:hAnsi="Arial" w:cs="Arial"/>
                <w:sz w:val="20"/>
                <w:szCs w:val="20"/>
              </w:rPr>
            </w:pPr>
          </w:p>
        </w:tc>
        <w:tc>
          <w:tcPr>
            <w:tcW w:w="1095" w:type="dxa"/>
            <w:gridSpan w:val="2"/>
            <w:tcBorders>
              <w:top w:val="nil"/>
              <w:left w:val="nil"/>
              <w:bottom w:val="nil"/>
              <w:right w:val="single" w:sz="4" w:space="0" w:color="auto"/>
            </w:tcBorders>
            <w:shd w:val="clear" w:color="auto" w:fill="auto"/>
            <w:noWrap/>
            <w:vAlign w:val="bottom"/>
          </w:tcPr>
          <w:p w:rsidR="003B46CE" w:rsidRDefault="003B46CE">
            <w:pPr>
              <w:jc w:val="right"/>
              <w:rPr>
                <w:rFonts w:ascii="Arial" w:hAnsi="Arial" w:cs="Arial"/>
                <w:sz w:val="20"/>
                <w:szCs w:val="20"/>
              </w:rPr>
            </w:pPr>
            <w:r>
              <w:rPr>
                <w:rFonts w:ascii="Arial" w:hAnsi="Arial" w:cs="Arial"/>
                <w:sz w:val="20"/>
                <w:szCs w:val="20"/>
              </w:rPr>
              <w:t xml:space="preserve">422 </w:t>
            </w:r>
          </w:p>
        </w:tc>
        <w:tc>
          <w:tcPr>
            <w:tcW w:w="819" w:type="dxa"/>
            <w:tcBorders>
              <w:top w:val="nil"/>
              <w:left w:val="nil"/>
              <w:bottom w:val="nil"/>
              <w:right w:val="single" w:sz="4" w:space="0" w:color="auto"/>
            </w:tcBorders>
            <w:shd w:val="clear" w:color="auto" w:fill="auto"/>
            <w:noWrap/>
            <w:vAlign w:val="bottom"/>
          </w:tcPr>
          <w:p w:rsidR="003B46CE" w:rsidRDefault="003B46CE">
            <w:pPr>
              <w:jc w:val="right"/>
              <w:rPr>
                <w:rFonts w:ascii="Arial" w:hAnsi="Arial" w:cs="Arial"/>
                <w:sz w:val="20"/>
                <w:szCs w:val="20"/>
              </w:rPr>
            </w:pPr>
            <w:r>
              <w:rPr>
                <w:rFonts w:ascii="Arial" w:hAnsi="Arial" w:cs="Arial"/>
                <w:sz w:val="20"/>
                <w:szCs w:val="20"/>
              </w:rPr>
              <w:t xml:space="preserve">422 </w:t>
            </w:r>
          </w:p>
        </w:tc>
        <w:tc>
          <w:tcPr>
            <w:tcW w:w="2139" w:type="dxa"/>
            <w:tcBorders>
              <w:top w:val="nil"/>
              <w:left w:val="nil"/>
              <w:bottom w:val="nil"/>
              <w:right w:val="single" w:sz="8" w:space="0" w:color="auto"/>
            </w:tcBorders>
            <w:shd w:val="clear" w:color="auto" w:fill="auto"/>
            <w:noWrap/>
            <w:vAlign w:val="bottom"/>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výkup pozemků</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402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402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projektové práce</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363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363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částečný přesun do r. 2019</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výdaje za prodej majetku, projekt EPC</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341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341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CE" w:hAnsi="Arial CE" w:cs="Arial CE"/>
                <w:sz w:val="20"/>
                <w:szCs w:val="20"/>
              </w:rPr>
            </w:pPr>
            <w:r>
              <w:rPr>
                <w:rFonts w:ascii="Arial CE" w:hAnsi="Arial CE" w:cs="Arial CE"/>
                <w:sz w:val="20"/>
                <w:szCs w:val="20"/>
              </w:rPr>
              <w:t>krizové řízení, požární ochrana</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340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340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55"/>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5C1DB9">
            <w:pPr>
              <w:rPr>
                <w:rFonts w:ascii="Arial" w:hAnsi="Arial" w:cs="Arial"/>
                <w:sz w:val="20"/>
                <w:szCs w:val="20"/>
              </w:rPr>
            </w:pPr>
            <w:r>
              <w:rPr>
                <w:rFonts w:ascii="Arial" w:hAnsi="Arial" w:cs="Arial"/>
                <w:sz w:val="20"/>
                <w:szCs w:val="20"/>
              </w:rPr>
              <w:t xml:space="preserve">územní plán, územní </w:t>
            </w:r>
            <w:r w:rsidR="003B46CE">
              <w:rPr>
                <w:rFonts w:ascii="Arial" w:hAnsi="Arial" w:cs="Arial"/>
                <w:sz w:val="20"/>
                <w:szCs w:val="20"/>
              </w:rPr>
              <w:t>rozvoj,</w:t>
            </w:r>
            <w:r>
              <w:rPr>
                <w:rFonts w:ascii="Arial" w:hAnsi="Arial" w:cs="Arial"/>
                <w:sz w:val="20"/>
                <w:szCs w:val="20"/>
              </w:rPr>
              <w:t xml:space="preserve"> </w:t>
            </w:r>
            <w:proofErr w:type="spellStart"/>
            <w:r w:rsidR="003B46CE">
              <w:rPr>
                <w:rFonts w:ascii="Arial" w:hAnsi="Arial" w:cs="Arial"/>
                <w:sz w:val="20"/>
                <w:szCs w:val="20"/>
              </w:rPr>
              <w:t>inf</w:t>
            </w:r>
            <w:proofErr w:type="spellEnd"/>
            <w:r w:rsidR="003B46CE">
              <w:rPr>
                <w:rFonts w:ascii="Arial" w:hAnsi="Arial" w:cs="Arial"/>
                <w:sz w:val="20"/>
                <w:szCs w:val="20"/>
              </w:rPr>
              <w:t>. systém</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 </w:t>
            </w:r>
          </w:p>
        </w:tc>
        <w:tc>
          <w:tcPr>
            <w:tcW w:w="1095"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131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131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3B46CE" w:rsidTr="00B51BA4">
        <w:trPr>
          <w:trHeight w:val="270"/>
        </w:trPr>
        <w:tc>
          <w:tcPr>
            <w:tcW w:w="4126" w:type="dxa"/>
            <w:tcBorders>
              <w:top w:val="nil"/>
              <w:left w:val="single" w:sz="8" w:space="0" w:color="auto"/>
              <w:bottom w:val="nil"/>
              <w:right w:val="single" w:sz="4" w:space="0" w:color="auto"/>
            </w:tcBorders>
            <w:shd w:val="clear" w:color="auto" w:fill="auto"/>
            <w:noWrap/>
            <w:vAlign w:val="bottom"/>
            <w:hideMark/>
          </w:tcPr>
          <w:p w:rsidR="003B46CE" w:rsidRDefault="003B46CE">
            <w:pPr>
              <w:rPr>
                <w:rFonts w:ascii="Arial" w:hAnsi="Arial" w:cs="Arial"/>
                <w:sz w:val="20"/>
                <w:szCs w:val="20"/>
              </w:rPr>
            </w:pPr>
            <w:r>
              <w:rPr>
                <w:rFonts w:ascii="Arial" w:hAnsi="Arial" w:cs="Arial"/>
                <w:sz w:val="20"/>
                <w:szCs w:val="20"/>
              </w:rPr>
              <w:t>ostatní</w:t>
            </w:r>
          </w:p>
        </w:tc>
        <w:tc>
          <w:tcPr>
            <w:tcW w:w="912" w:type="dxa"/>
            <w:gridSpan w:val="2"/>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42 </w:t>
            </w:r>
          </w:p>
        </w:tc>
        <w:tc>
          <w:tcPr>
            <w:tcW w:w="1095" w:type="dxa"/>
            <w:gridSpan w:val="2"/>
            <w:tcBorders>
              <w:top w:val="nil"/>
              <w:left w:val="nil"/>
              <w:bottom w:val="single" w:sz="8" w:space="0" w:color="auto"/>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99 </w:t>
            </w:r>
          </w:p>
        </w:tc>
        <w:tc>
          <w:tcPr>
            <w:tcW w:w="819" w:type="dxa"/>
            <w:tcBorders>
              <w:top w:val="nil"/>
              <w:left w:val="nil"/>
              <w:bottom w:val="nil"/>
              <w:right w:val="single" w:sz="4" w:space="0" w:color="auto"/>
            </w:tcBorders>
            <w:shd w:val="clear" w:color="auto" w:fill="auto"/>
            <w:noWrap/>
            <w:vAlign w:val="bottom"/>
            <w:hideMark/>
          </w:tcPr>
          <w:p w:rsidR="003B46CE" w:rsidRDefault="003B46CE">
            <w:pPr>
              <w:jc w:val="right"/>
              <w:rPr>
                <w:rFonts w:ascii="Arial" w:hAnsi="Arial" w:cs="Arial"/>
                <w:sz w:val="20"/>
                <w:szCs w:val="20"/>
              </w:rPr>
            </w:pPr>
            <w:r>
              <w:rPr>
                <w:rFonts w:ascii="Arial" w:hAnsi="Arial" w:cs="Arial"/>
                <w:sz w:val="20"/>
                <w:szCs w:val="20"/>
              </w:rPr>
              <w:t xml:space="preserve">141 </w:t>
            </w:r>
          </w:p>
        </w:tc>
        <w:tc>
          <w:tcPr>
            <w:tcW w:w="2139" w:type="dxa"/>
            <w:tcBorders>
              <w:top w:val="nil"/>
              <w:left w:val="nil"/>
              <w:bottom w:val="nil"/>
              <w:right w:val="single" w:sz="8" w:space="0" w:color="auto"/>
            </w:tcBorders>
            <w:shd w:val="clear" w:color="auto" w:fill="auto"/>
            <w:noWrap/>
            <w:vAlign w:val="bottom"/>
            <w:hideMark/>
          </w:tcPr>
          <w:p w:rsidR="003B46CE" w:rsidRDefault="003B46CE">
            <w:pPr>
              <w:rPr>
                <w:rFonts w:ascii="Arial" w:hAnsi="Arial" w:cs="Arial"/>
                <w:sz w:val="16"/>
                <w:szCs w:val="16"/>
              </w:rPr>
            </w:pPr>
            <w:r>
              <w:rPr>
                <w:rFonts w:ascii="Arial" w:hAnsi="Arial" w:cs="Arial"/>
                <w:sz w:val="16"/>
                <w:szCs w:val="16"/>
              </w:rPr>
              <w:t> </w:t>
            </w:r>
          </w:p>
        </w:tc>
      </w:tr>
      <w:tr w:rsidR="005C1DB9" w:rsidTr="00B51BA4">
        <w:trPr>
          <w:trHeight w:val="270"/>
        </w:trPr>
        <w:tc>
          <w:tcPr>
            <w:tcW w:w="412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C1DB9" w:rsidRDefault="005C1DB9">
            <w:pPr>
              <w:rPr>
                <w:rFonts w:ascii="Arial" w:hAnsi="Arial" w:cs="Arial"/>
                <w:b/>
                <w:bCs/>
                <w:sz w:val="20"/>
                <w:szCs w:val="20"/>
              </w:rPr>
            </w:pPr>
            <w:r>
              <w:rPr>
                <w:rFonts w:ascii="Arial" w:hAnsi="Arial" w:cs="Arial"/>
                <w:b/>
                <w:bCs/>
                <w:sz w:val="20"/>
                <w:szCs w:val="20"/>
              </w:rPr>
              <w:t>celkem</w:t>
            </w:r>
          </w:p>
        </w:tc>
        <w:tc>
          <w:tcPr>
            <w:tcW w:w="912" w:type="dxa"/>
            <w:gridSpan w:val="2"/>
            <w:tcBorders>
              <w:top w:val="single" w:sz="8" w:space="0" w:color="auto"/>
              <w:left w:val="nil"/>
              <w:bottom w:val="single" w:sz="8" w:space="0" w:color="auto"/>
              <w:right w:val="single" w:sz="4" w:space="0" w:color="auto"/>
            </w:tcBorders>
            <w:shd w:val="clear" w:color="auto" w:fill="auto"/>
            <w:noWrap/>
            <w:vAlign w:val="bottom"/>
            <w:hideMark/>
          </w:tcPr>
          <w:p w:rsidR="005C1DB9" w:rsidRDefault="005C1DB9">
            <w:pPr>
              <w:jc w:val="right"/>
              <w:rPr>
                <w:rFonts w:ascii="Arial" w:hAnsi="Arial" w:cs="Arial"/>
                <w:b/>
                <w:bCs/>
                <w:sz w:val="20"/>
                <w:szCs w:val="20"/>
              </w:rPr>
            </w:pPr>
            <w:r>
              <w:rPr>
                <w:rFonts w:ascii="Arial" w:hAnsi="Arial" w:cs="Arial"/>
                <w:b/>
                <w:bCs/>
                <w:color w:val="FF0000"/>
                <w:sz w:val="20"/>
                <w:szCs w:val="20"/>
              </w:rPr>
              <w:t xml:space="preserve">-657 </w:t>
            </w:r>
          </w:p>
        </w:tc>
        <w:tc>
          <w:tcPr>
            <w:tcW w:w="1095" w:type="dxa"/>
            <w:gridSpan w:val="2"/>
            <w:tcBorders>
              <w:top w:val="nil"/>
              <w:left w:val="nil"/>
              <w:bottom w:val="single" w:sz="8" w:space="0" w:color="auto"/>
              <w:right w:val="single" w:sz="4" w:space="0" w:color="auto"/>
            </w:tcBorders>
            <w:shd w:val="clear" w:color="auto" w:fill="auto"/>
            <w:noWrap/>
            <w:vAlign w:val="bottom"/>
            <w:hideMark/>
          </w:tcPr>
          <w:p w:rsidR="005C1DB9" w:rsidRDefault="005C1DB9">
            <w:pPr>
              <w:jc w:val="right"/>
              <w:rPr>
                <w:rFonts w:ascii="Arial" w:hAnsi="Arial" w:cs="Arial"/>
                <w:b/>
                <w:bCs/>
                <w:sz w:val="20"/>
                <w:szCs w:val="20"/>
              </w:rPr>
            </w:pPr>
            <w:r>
              <w:rPr>
                <w:rFonts w:ascii="Arial" w:hAnsi="Arial" w:cs="Arial"/>
                <w:b/>
                <w:bCs/>
                <w:sz w:val="20"/>
                <w:szCs w:val="20"/>
              </w:rPr>
              <w:t xml:space="preserve">23 196 </w:t>
            </w:r>
          </w:p>
        </w:tc>
        <w:tc>
          <w:tcPr>
            <w:tcW w:w="819" w:type="dxa"/>
            <w:tcBorders>
              <w:top w:val="single" w:sz="8" w:space="0" w:color="auto"/>
              <w:left w:val="nil"/>
              <w:bottom w:val="single" w:sz="8" w:space="0" w:color="auto"/>
              <w:right w:val="single" w:sz="4" w:space="0" w:color="auto"/>
            </w:tcBorders>
            <w:shd w:val="clear" w:color="auto" w:fill="auto"/>
            <w:noWrap/>
            <w:vAlign w:val="bottom"/>
            <w:hideMark/>
          </w:tcPr>
          <w:p w:rsidR="005C1DB9" w:rsidRDefault="005C1DB9">
            <w:pPr>
              <w:jc w:val="right"/>
              <w:rPr>
                <w:rFonts w:ascii="Arial" w:hAnsi="Arial" w:cs="Arial"/>
                <w:b/>
                <w:bCs/>
                <w:sz w:val="20"/>
                <w:szCs w:val="20"/>
              </w:rPr>
            </w:pPr>
            <w:r>
              <w:rPr>
                <w:rFonts w:ascii="Arial" w:hAnsi="Arial" w:cs="Arial"/>
                <w:b/>
                <w:bCs/>
                <w:sz w:val="20"/>
                <w:szCs w:val="20"/>
              </w:rPr>
              <w:t>22 539</w:t>
            </w:r>
          </w:p>
        </w:tc>
        <w:tc>
          <w:tcPr>
            <w:tcW w:w="2139" w:type="dxa"/>
            <w:tcBorders>
              <w:top w:val="single" w:sz="8" w:space="0" w:color="auto"/>
              <w:left w:val="nil"/>
              <w:bottom w:val="single" w:sz="8" w:space="0" w:color="auto"/>
              <w:right w:val="single" w:sz="8" w:space="0" w:color="auto"/>
            </w:tcBorders>
            <w:shd w:val="clear" w:color="auto" w:fill="auto"/>
            <w:noWrap/>
            <w:vAlign w:val="bottom"/>
            <w:hideMark/>
          </w:tcPr>
          <w:p w:rsidR="005C1DB9" w:rsidRDefault="005C1DB9">
            <w:pPr>
              <w:rPr>
                <w:rFonts w:ascii="Arial" w:hAnsi="Arial" w:cs="Arial"/>
                <w:sz w:val="20"/>
                <w:szCs w:val="20"/>
              </w:rPr>
            </w:pPr>
            <w:r>
              <w:rPr>
                <w:rFonts w:ascii="Arial" w:hAnsi="Arial" w:cs="Arial"/>
                <w:sz w:val="20"/>
                <w:szCs w:val="20"/>
              </w:rPr>
              <w:t> </w:t>
            </w:r>
          </w:p>
        </w:tc>
      </w:tr>
    </w:tbl>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FD24F5" w:rsidRDefault="00FD24F5" w:rsidP="00ED41BA">
      <w:pPr>
        <w:ind w:left="170" w:firstLine="311"/>
        <w:jc w:val="both"/>
        <w:rPr>
          <w:i/>
          <w:sz w:val="20"/>
          <w:szCs w:val="20"/>
        </w:rPr>
      </w:pPr>
    </w:p>
    <w:p w:rsidR="00B51BA4" w:rsidRDefault="00B51BA4" w:rsidP="00ED41BA">
      <w:pPr>
        <w:ind w:left="170" w:firstLine="311"/>
        <w:jc w:val="both"/>
        <w:rPr>
          <w:i/>
          <w:sz w:val="20"/>
          <w:szCs w:val="20"/>
        </w:rPr>
      </w:pPr>
    </w:p>
    <w:p w:rsidR="00FD24F5" w:rsidRDefault="00FD24F5" w:rsidP="00ED41BA">
      <w:pPr>
        <w:ind w:left="170" w:firstLine="311"/>
        <w:jc w:val="both"/>
        <w:rPr>
          <w:i/>
          <w:sz w:val="20"/>
          <w:szCs w:val="20"/>
        </w:rPr>
      </w:pPr>
    </w:p>
    <w:p w:rsidR="00FD24F5" w:rsidRDefault="00FD24F5" w:rsidP="00ED41BA">
      <w:pPr>
        <w:ind w:left="170" w:firstLine="311"/>
        <w:jc w:val="both"/>
        <w:rPr>
          <w:i/>
          <w:sz w:val="20"/>
          <w:szCs w:val="20"/>
        </w:rPr>
      </w:pPr>
    </w:p>
    <w:tbl>
      <w:tblPr>
        <w:tblW w:w="9190" w:type="dxa"/>
        <w:tblInd w:w="55" w:type="dxa"/>
        <w:tblCellMar>
          <w:left w:w="70" w:type="dxa"/>
          <w:right w:w="70" w:type="dxa"/>
        </w:tblCellMar>
        <w:tblLook w:val="04A0" w:firstRow="1" w:lastRow="0" w:firstColumn="1" w:lastColumn="0" w:noHBand="0" w:noVBand="1"/>
      </w:tblPr>
      <w:tblGrid>
        <w:gridCol w:w="3954"/>
        <w:gridCol w:w="196"/>
        <w:gridCol w:w="1110"/>
        <w:gridCol w:w="1559"/>
        <w:gridCol w:w="2371"/>
      </w:tblGrid>
      <w:tr w:rsidR="00211C55" w:rsidTr="005B6777">
        <w:trPr>
          <w:trHeight w:val="330"/>
        </w:trPr>
        <w:tc>
          <w:tcPr>
            <w:tcW w:w="6819" w:type="dxa"/>
            <w:gridSpan w:val="4"/>
            <w:tcBorders>
              <w:top w:val="nil"/>
              <w:left w:val="nil"/>
              <w:bottom w:val="nil"/>
              <w:right w:val="nil"/>
            </w:tcBorders>
            <w:shd w:val="clear" w:color="000000" w:fill="FFFF99"/>
            <w:noWrap/>
            <w:vAlign w:val="bottom"/>
            <w:hideMark/>
          </w:tcPr>
          <w:p w:rsidR="00211C55" w:rsidRDefault="00211C55">
            <w:pPr>
              <w:rPr>
                <w:rFonts w:ascii="Arial CE" w:hAnsi="Arial CE" w:cs="Arial CE"/>
                <w:b/>
                <w:bCs/>
              </w:rPr>
            </w:pPr>
            <w:r>
              <w:rPr>
                <w:rFonts w:ascii="Arial CE" w:hAnsi="Arial CE" w:cs="Arial CE"/>
                <w:b/>
                <w:bCs/>
              </w:rPr>
              <w:t>2) V rozpočtu 2019 jsou zahrnuty tyto investice:</w:t>
            </w:r>
          </w:p>
        </w:tc>
        <w:tc>
          <w:tcPr>
            <w:tcW w:w="2371" w:type="dxa"/>
            <w:tcBorders>
              <w:top w:val="nil"/>
              <w:left w:val="nil"/>
              <w:bottom w:val="nil"/>
              <w:right w:val="nil"/>
            </w:tcBorders>
            <w:shd w:val="clear" w:color="000000" w:fill="FFFF99"/>
            <w:noWrap/>
            <w:vAlign w:val="bottom"/>
            <w:hideMark/>
          </w:tcPr>
          <w:p w:rsidR="00211C55" w:rsidRDefault="00211C55">
            <w:pPr>
              <w:rPr>
                <w:rFonts w:ascii="Arial" w:hAnsi="Arial" w:cs="Arial"/>
                <w:sz w:val="20"/>
                <w:szCs w:val="20"/>
              </w:rPr>
            </w:pPr>
            <w:r>
              <w:rPr>
                <w:rFonts w:ascii="Arial" w:hAnsi="Arial" w:cs="Arial"/>
                <w:sz w:val="20"/>
                <w:szCs w:val="20"/>
              </w:rPr>
              <w:t> </w:t>
            </w:r>
          </w:p>
        </w:tc>
      </w:tr>
      <w:tr w:rsidR="00211C55" w:rsidTr="005B6777">
        <w:trPr>
          <w:trHeight w:val="270"/>
        </w:trPr>
        <w:tc>
          <w:tcPr>
            <w:tcW w:w="3954" w:type="dxa"/>
            <w:tcBorders>
              <w:top w:val="single" w:sz="8" w:space="0" w:color="auto"/>
              <w:left w:val="single" w:sz="8" w:space="0" w:color="auto"/>
              <w:bottom w:val="single" w:sz="8" w:space="0" w:color="auto"/>
              <w:right w:val="nil"/>
            </w:tcBorders>
            <w:shd w:val="clear" w:color="auto" w:fill="auto"/>
            <w:noWrap/>
            <w:vAlign w:val="bottom"/>
            <w:hideMark/>
          </w:tcPr>
          <w:p w:rsidR="00211C55" w:rsidRDefault="00211C55">
            <w:pPr>
              <w:rPr>
                <w:rFonts w:ascii="Arial CE" w:hAnsi="Arial CE" w:cs="Arial CE"/>
                <w:b/>
                <w:bCs/>
                <w:sz w:val="20"/>
                <w:szCs w:val="20"/>
              </w:rPr>
            </w:pPr>
            <w:r>
              <w:rPr>
                <w:rFonts w:ascii="Arial CE" w:hAnsi="Arial CE" w:cs="Arial CE"/>
                <w:b/>
                <w:bCs/>
                <w:sz w:val="20"/>
                <w:szCs w:val="20"/>
              </w:rPr>
              <w:t>Investice</w:t>
            </w:r>
          </w:p>
        </w:tc>
        <w:tc>
          <w:tcPr>
            <w:tcW w:w="196" w:type="dxa"/>
            <w:tcBorders>
              <w:top w:val="single" w:sz="8" w:space="0" w:color="auto"/>
              <w:left w:val="nil"/>
              <w:bottom w:val="single" w:sz="8" w:space="0" w:color="auto"/>
              <w:right w:val="nil"/>
            </w:tcBorders>
            <w:shd w:val="clear" w:color="auto" w:fill="auto"/>
            <w:noWrap/>
            <w:vAlign w:val="bottom"/>
            <w:hideMark/>
          </w:tcPr>
          <w:p w:rsidR="00211C55" w:rsidRDefault="00211C55">
            <w:pPr>
              <w:jc w:val="center"/>
              <w:rPr>
                <w:rFonts w:ascii="Arial CE" w:hAnsi="Arial CE" w:cs="Arial CE"/>
                <w:sz w:val="16"/>
                <w:szCs w:val="16"/>
              </w:rPr>
            </w:pPr>
            <w:r>
              <w:rPr>
                <w:rFonts w:ascii="Arial CE" w:hAnsi="Arial CE" w:cs="Arial CE"/>
                <w:sz w:val="16"/>
                <w:szCs w:val="16"/>
              </w:rPr>
              <w:t> </w:t>
            </w:r>
          </w:p>
        </w:tc>
        <w:tc>
          <w:tcPr>
            <w:tcW w:w="1110" w:type="dxa"/>
            <w:tcBorders>
              <w:top w:val="single" w:sz="8" w:space="0" w:color="auto"/>
              <w:left w:val="nil"/>
              <w:bottom w:val="single" w:sz="8" w:space="0" w:color="auto"/>
              <w:right w:val="nil"/>
            </w:tcBorders>
            <w:shd w:val="clear" w:color="auto" w:fill="auto"/>
            <w:noWrap/>
            <w:vAlign w:val="bottom"/>
            <w:hideMark/>
          </w:tcPr>
          <w:p w:rsidR="00211C55" w:rsidRDefault="00211C55">
            <w:pPr>
              <w:jc w:val="right"/>
              <w:rPr>
                <w:rFonts w:ascii="Arial CE" w:hAnsi="Arial CE" w:cs="Arial CE"/>
                <w:b/>
                <w:bCs/>
                <w:sz w:val="20"/>
                <w:szCs w:val="20"/>
              </w:rPr>
            </w:pPr>
            <w:r>
              <w:rPr>
                <w:rFonts w:ascii="Arial CE" w:hAnsi="Arial CE" w:cs="Arial CE"/>
                <w:b/>
                <w:bCs/>
                <w:sz w:val="20"/>
                <w:szCs w:val="20"/>
              </w:rPr>
              <w:t> </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11C55" w:rsidRDefault="00211C55" w:rsidP="005B6777">
            <w:pPr>
              <w:rPr>
                <w:rFonts w:ascii="Arial CE" w:hAnsi="Arial CE" w:cs="Arial CE"/>
                <w:b/>
                <w:bCs/>
                <w:sz w:val="20"/>
                <w:szCs w:val="20"/>
              </w:rPr>
            </w:pPr>
            <w:r>
              <w:rPr>
                <w:rFonts w:ascii="Arial CE" w:hAnsi="Arial CE" w:cs="Arial CE"/>
                <w:b/>
                <w:bCs/>
                <w:sz w:val="20"/>
                <w:szCs w:val="20"/>
              </w:rPr>
              <w:t>částka (tis. Kč</w:t>
            </w:r>
            <w:r w:rsidR="00F75DF9">
              <w:rPr>
                <w:rFonts w:ascii="Arial CE" w:hAnsi="Arial CE" w:cs="Arial CE"/>
                <w:b/>
                <w:bCs/>
                <w:sz w:val="20"/>
                <w:szCs w:val="20"/>
              </w:rPr>
              <w:t>)</w:t>
            </w:r>
            <w:r>
              <w:rPr>
                <w:rFonts w:ascii="Arial CE" w:hAnsi="Arial CE" w:cs="Arial CE"/>
                <w:b/>
                <w:bCs/>
                <w:sz w:val="20"/>
                <w:szCs w:val="20"/>
              </w:rPr>
              <w:t xml:space="preserve"> </w:t>
            </w:r>
          </w:p>
        </w:tc>
        <w:tc>
          <w:tcPr>
            <w:tcW w:w="2371" w:type="dxa"/>
            <w:tcBorders>
              <w:top w:val="single" w:sz="8" w:space="0" w:color="auto"/>
              <w:left w:val="nil"/>
              <w:bottom w:val="single" w:sz="8" w:space="0" w:color="auto"/>
              <w:right w:val="single" w:sz="8" w:space="0" w:color="auto"/>
            </w:tcBorders>
            <w:shd w:val="clear" w:color="auto" w:fill="auto"/>
            <w:noWrap/>
            <w:vAlign w:val="bottom"/>
            <w:hideMark/>
          </w:tcPr>
          <w:p w:rsidR="00211C55" w:rsidRDefault="00211C55">
            <w:pPr>
              <w:jc w:val="center"/>
              <w:rPr>
                <w:rFonts w:ascii="Arial CE" w:hAnsi="Arial CE" w:cs="Arial CE"/>
                <w:b/>
                <w:bCs/>
                <w:sz w:val="20"/>
                <w:szCs w:val="20"/>
              </w:rPr>
            </w:pPr>
            <w:r>
              <w:rPr>
                <w:rFonts w:ascii="Arial CE" w:hAnsi="Arial CE" w:cs="Arial CE"/>
                <w:b/>
                <w:bCs/>
                <w:sz w:val="20"/>
                <w:szCs w:val="20"/>
              </w:rPr>
              <w:t>poznámka</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Ulice Žižkova - rekonstrukce</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18 000</w:t>
            </w:r>
          </w:p>
        </w:tc>
        <w:tc>
          <w:tcPr>
            <w:tcW w:w="2371" w:type="dxa"/>
            <w:tcBorders>
              <w:top w:val="nil"/>
              <w:left w:val="nil"/>
              <w:bottom w:val="nil"/>
              <w:right w:val="single" w:sz="8" w:space="0" w:color="auto"/>
            </w:tcBorders>
            <w:shd w:val="clear" w:color="auto" w:fill="auto"/>
            <w:noWrap/>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5260" w:type="dxa"/>
            <w:gridSpan w:val="3"/>
            <w:tcBorders>
              <w:top w:val="nil"/>
              <w:left w:val="single" w:sz="4" w:space="0" w:color="auto"/>
              <w:bottom w:val="nil"/>
              <w:right w:val="nil"/>
            </w:tcBorders>
            <w:shd w:val="clear" w:color="auto" w:fill="auto"/>
            <w:noWrap/>
            <w:vAlign w:val="bottom"/>
            <w:hideMark/>
          </w:tcPr>
          <w:p w:rsidR="00211C55" w:rsidRDefault="00211C55">
            <w:pPr>
              <w:rPr>
                <w:rFonts w:ascii="Arial CE" w:hAnsi="Arial CE" w:cs="Arial CE"/>
                <w:sz w:val="18"/>
                <w:szCs w:val="18"/>
              </w:rPr>
            </w:pPr>
            <w:proofErr w:type="spellStart"/>
            <w:proofErr w:type="gramStart"/>
            <w:r>
              <w:rPr>
                <w:rFonts w:ascii="Arial CE" w:hAnsi="Arial CE" w:cs="Arial CE"/>
                <w:sz w:val="18"/>
                <w:szCs w:val="18"/>
              </w:rPr>
              <w:t>SC,s.</w:t>
            </w:r>
            <w:proofErr w:type="gramEnd"/>
            <w:r>
              <w:rPr>
                <w:rFonts w:ascii="Arial CE" w:hAnsi="Arial CE" w:cs="Arial CE"/>
                <w:sz w:val="18"/>
                <w:szCs w:val="18"/>
              </w:rPr>
              <w:t>r.o</w:t>
            </w:r>
            <w:proofErr w:type="spellEnd"/>
            <w:r>
              <w:rPr>
                <w:rFonts w:ascii="Arial CE" w:hAnsi="Arial CE" w:cs="Arial CE"/>
                <w:sz w:val="18"/>
                <w:szCs w:val="18"/>
              </w:rPr>
              <w:t xml:space="preserve"> - </w:t>
            </w:r>
            <w:r w:rsidRPr="00211C55">
              <w:rPr>
                <w:rFonts w:ascii="Arial CE" w:hAnsi="Arial CE" w:cs="Arial CE"/>
                <w:sz w:val="16"/>
                <w:szCs w:val="16"/>
              </w:rPr>
              <w:t>obnova a investice sportovních zařízení - příplatek mimo ZK</w:t>
            </w: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7 000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4" w:space="0" w:color="auto"/>
              <w:bottom w:val="nil"/>
              <w:right w:val="nil"/>
            </w:tcBorders>
            <w:shd w:val="clear" w:color="auto" w:fill="auto"/>
            <w:noWrap/>
            <w:vAlign w:val="bottom"/>
            <w:hideMark/>
          </w:tcPr>
          <w:p w:rsidR="00211C55" w:rsidRPr="00211C55" w:rsidRDefault="00211C55">
            <w:pPr>
              <w:rPr>
                <w:rFonts w:ascii="Arial CE" w:hAnsi="Arial CE" w:cs="Arial CE"/>
                <w:sz w:val="18"/>
                <w:szCs w:val="18"/>
              </w:rPr>
            </w:pPr>
            <w:r w:rsidRPr="00211C55">
              <w:rPr>
                <w:rFonts w:ascii="Arial CE" w:hAnsi="Arial CE" w:cs="Arial CE"/>
                <w:sz w:val="18"/>
                <w:szCs w:val="18"/>
              </w:rPr>
              <w:t xml:space="preserve">Rekonstrukce </w:t>
            </w:r>
            <w:proofErr w:type="gramStart"/>
            <w:r w:rsidRPr="00211C55">
              <w:rPr>
                <w:rFonts w:ascii="Arial CE" w:hAnsi="Arial CE" w:cs="Arial CE"/>
                <w:sz w:val="18"/>
                <w:szCs w:val="18"/>
              </w:rPr>
              <w:t>čp.64</w:t>
            </w:r>
            <w:proofErr w:type="gramEnd"/>
            <w:r w:rsidRPr="00211C55">
              <w:rPr>
                <w:rFonts w:ascii="Arial CE" w:hAnsi="Arial CE" w:cs="Arial CE"/>
                <w:sz w:val="18"/>
                <w:szCs w:val="18"/>
              </w:rPr>
              <w:t xml:space="preserve"> - rozvoj soc. služeb </w:t>
            </w:r>
          </w:p>
        </w:tc>
        <w:tc>
          <w:tcPr>
            <w:tcW w:w="196" w:type="dxa"/>
            <w:tcBorders>
              <w:top w:val="nil"/>
              <w:left w:val="nil"/>
              <w:bottom w:val="nil"/>
              <w:right w:val="nil"/>
            </w:tcBorders>
            <w:shd w:val="clear" w:color="auto" w:fill="auto"/>
            <w:noWrap/>
            <w:vAlign w:val="bottom"/>
            <w:hideMark/>
          </w:tcPr>
          <w:p w:rsidR="00211C55" w:rsidRP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6 200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Obnova zahradního domku a expozice</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5 800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Nouzov - inženýrské sítě</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4 600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5260" w:type="dxa"/>
            <w:gridSpan w:val="3"/>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 xml:space="preserve">Nová parkoviště (U </w:t>
            </w:r>
            <w:proofErr w:type="spellStart"/>
            <w:r>
              <w:rPr>
                <w:rFonts w:ascii="Arial CE" w:hAnsi="Arial CE" w:cs="Arial CE"/>
                <w:sz w:val="18"/>
                <w:szCs w:val="18"/>
              </w:rPr>
              <w:t>Zolmana</w:t>
            </w:r>
            <w:proofErr w:type="spellEnd"/>
            <w:r>
              <w:rPr>
                <w:rFonts w:ascii="Arial CE" w:hAnsi="Arial CE" w:cs="Arial CE"/>
                <w:sz w:val="18"/>
                <w:szCs w:val="18"/>
              </w:rPr>
              <w:t>, u pošty, před gymnáziem</w:t>
            </w:r>
            <w:r w:rsidR="008A1A34">
              <w:rPr>
                <w:rFonts w:ascii="Arial CE" w:hAnsi="Arial CE" w:cs="Arial CE"/>
                <w:sz w:val="18"/>
                <w:szCs w:val="18"/>
              </w:rPr>
              <w:t xml:space="preserve"> </w:t>
            </w:r>
            <w:r>
              <w:rPr>
                <w:rFonts w:ascii="Arial CE" w:hAnsi="Arial CE" w:cs="Arial CE"/>
                <w:sz w:val="18"/>
                <w:szCs w:val="18"/>
              </w:rPr>
              <w:t>- doplatek)</w:t>
            </w: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2 905</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proofErr w:type="spellStart"/>
            <w:r>
              <w:rPr>
                <w:rFonts w:ascii="Arial CE" w:hAnsi="Arial CE" w:cs="Arial CE"/>
                <w:sz w:val="18"/>
                <w:szCs w:val="18"/>
              </w:rPr>
              <w:t>Bátovka</w:t>
            </w:r>
            <w:proofErr w:type="spellEnd"/>
            <w:r>
              <w:rPr>
                <w:rFonts w:ascii="Arial CE" w:hAnsi="Arial CE" w:cs="Arial CE"/>
                <w:sz w:val="18"/>
                <w:szCs w:val="18"/>
              </w:rPr>
              <w:t xml:space="preserve"> - dotace VHS </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2 000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doplatek dle smlouvy</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Rekonstrukce čp. 85 - střecha</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1 870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4"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Komunální služby - nákladní vozidlo</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1 800</w:t>
            </w:r>
          </w:p>
        </w:tc>
        <w:tc>
          <w:tcPr>
            <w:tcW w:w="2371" w:type="dxa"/>
            <w:tcBorders>
              <w:top w:val="nil"/>
              <w:left w:val="nil"/>
              <w:bottom w:val="nil"/>
              <w:right w:val="single" w:sz="8" w:space="0" w:color="auto"/>
            </w:tcBorders>
            <w:shd w:val="clear" w:color="auto" w:fill="auto"/>
            <w:noWrap/>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Školní stravování - nákup průmyslové myčky</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1 600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5260" w:type="dxa"/>
            <w:gridSpan w:val="3"/>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 xml:space="preserve">ZŠ </w:t>
            </w:r>
            <w:proofErr w:type="spellStart"/>
            <w:r>
              <w:rPr>
                <w:rFonts w:ascii="Arial CE" w:hAnsi="Arial CE" w:cs="Arial CE"/>
                <w:sz w:val="18"/>
                <w:szCs w:val="18"/>
              </w:rPr>
              <w:t>Harracha</w:t>
            </w:r>
            <w:proofErr w:type="spellEnd"/>
            <w:r>
              <w:rPr>
                <w:rFonts w:ascii="Arial CE" w:hAnsi="Arial CE" w:cs="Arial CE"/>
                <w:sz w:val="18"/>
                <w:szCs w:val="18"/>
              </w:rPr>
              <w:t xml:space="preserve"> - účelový příspěvek na horolezeckou stěnu</w:t>
            </w: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1 550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rsidP="008A1A34">
            <w:pPr>
              <w:rPr>
                <w:rFonts w:ascii="Arial CE" w:hAnsi="Arial CE" w:cs="Arial CE"/>
                <w:sz w:val="18"/>
                <w:szCs w:val="18"/>
              </w:rPr>
            </w:pPr>
            <w:r>
              <w:rPr>
                <w:rFonts w:ascii="Arial CE" w:hAnsi="Arial CE" w:cs="Arial CE"/>
                <w:sz w:val="18"/>
                <w:szCs w:val="18"/>
              </w:rPr>
              <w:t>Místní správa -digi</w:t>
            </w:r>
            <w:r w:rsidR="009043B9">
              <w:rPr>
                <w:rFonts w:ascii="Arial CE" w:hAnsi="Arial CE" w:cs="Arial CE"/>
                <w:sz w:val="18"/>
                <w:szCs w:val="18"/>
              </w:rPr>
              <w:t>tální</w:t>
            </w:r>
            <w:r w:rsidR="008A1A34">
              <w:rPr>
                <w:rFonts w:ascii="Arial CE" w:hAnsi="Arial CE" w:cs="Arial CE"/>
                <w:sz w:val="18"/>
                <w:szCs w:val="18"/>
              </w:rPr>
              <w:t xml:space="preserve"> ú</w:t>
            </w:r>
            <w:r>
              <w:rPr>
                <w:rFonts w:ascii="Arial CE" w:hAnsi="Arial CE" w:cs="Arial CE"/>
                <w:sz w:val="18"/>
                <w:szCs w:val="18"/>
              </w:rPr>
              <w:t xml:space="preserve">řední deska, automobil, </w:t>
            </w:r>
          </w:p>
        </w:tc>
        <w:tc>
          <w:tcPr>
            <w:tcW w:w="1110" w:type="dxa"/>
            <w:tcBorders>
              <w:top w:val="nil"/>
              <w:left w:val="nil"/>
              <w:bottom w:val="nil"/>
              <w:right w:val="nil"/>
            </w:tcBorders>
            <w:shd w:val="clear" w:color="auto" w:fill="auto"/>
            <w:vAlign w:val="bottom"/>
            <w:hideMark/>
          </w:tcPr>
          <w:p w:rsidR="00211C55" w:rsidRDefault="008A1A34">
            <w:pPr>
              <w:rPr>
                <w:rFonts w:ascii="Arial CE" w:hAnsi="Arial CE" w:cs="Arial CE"/>
                <w:sz w:val="16"/>
                <w:szCs w:val="16"/>
              </w:rPr>
            </w:pPr>
            <w:r>
              <w:rPr>
                <w:rFonts w:ascii="Arial CE" w:hAnsi="Arial CE" w:cs="Arial CE"/>
                <w:sz w:val="16"/>
                <w:szCs w:val="16"/>
              </w:rPr>
              <w:t>VT</w:t>
            </w: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1 145</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Lesnictví - auto, reko</w:t>
            </w:r>
            <w:r w:rsidR="009043B9">
              <w:rPr>
                <w:rFonts w:ascii="Arial CE" w:hAnsi="Arial CE" w:cs="Arial CE"/>
                <w:sz w:val="18"/>
                <w:szCs w:val="18"/>
              </w:rPr>
              <w:t>nstrukce</w:t>
            </w:r>
            <w:r>
              <w:rPr>
                <w:rFonts w:ascii="Arial CE" w:hAnsi="Arial CE" w:cs="Arial CE"/>
                <w:sz w:val="18"/>
                <w:szCs w:val="18"/>
              </w:rPr>
              <w:t xml:space="preserve"> lesní cesty</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932</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Odkup komunikace Na Kozinci a VO Za Lázněmi</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650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Chodník ul. Roztocká - projekce</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500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Cyklostezka "Za prací" - projekce</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500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Výkup pozemků</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410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 xml:space="preserve">Chodník Čsl. </w:t>
            </w:r>
            <w:proofErr w:type="spellStart"/>
            <w:r>
              <w:rPr>
                <w:rFonts w:ascii="Arial CE" w:hAnsi="Arial CE" w:cs="Arial CE"/>
                <w:sz w:val="18"/>
                <w:szCs w:val="18"/>
              </w:rPr>
              <w:t>Legiíí</w:t>
            </w:r>
            <w:proofErr w:type="spellEnd"/>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380</w:t>
            </w:r>
          </w:p>
        </w:tc>
        <w:tc>
          <w:tcPr>
            <w:tcW w:w="2371" w:type="dxa"/>
            <w:tcBorders>
              <w:top w:val="nil"/>
              <w:left w:val="nil"/>
              <w:bottom w:val="nil"/>
              <w:right w:val="single" w:sz="8" w:space="0" w:color="auto"/>
            </w:tcBorders>
            <w:shd w:val="clear" w:color="auto" w:fill="auto"/>
            <w:noWrap/>
            <w:vAlign w:val="bottom"/>
            <w:hideMark/>
          </w:tcPr>
          <w:p w:rsidR="00211C55" w:rsidRDefault="00211C55">
            <w:pPr>
              <w:rPr>
                <w:rFonts w:ascii="Arial CE" w:hAnsi="Arial CE" w:cs="Arial CE"/>
                <w:sz w:val="16"/>
                <w:szCs w:val="16"/>
              </w:rPr>
            </w:pPr>
            <w:r>
              <w:rPr>
                <w:rFonts w:ascii="Arial CE" w:hAnsi="Arial CE" w:cs="Arial CE"/>
                <w:sz w:val="16"/>
                <w:szCs w:val="16"/>
              </w:rPr>
              <w:t>doplatek</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Investiční dotace sportovním klubům</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320</w:t>
            </w:r>
          </w:p>
        </w:tc>
        <w:tc>
          <w:tcPr>
            <w:tcW w:w="2371" w:type="dxa"/>
            <w:tcBorders>
              <w:top w:val="nil"/>
              <w:left w:val="nil"/>
              <w:bottom w:val="nil"/>
              <w:right w:val="single" w:sz="8" w:space="0" w:color="auto"/>
            </w:tcBorders>
            <w:shd w:val="clear" w:color="auto" w:fill="auto"/>
            <w:noWrap/>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Projektová dokumentace nad 60000,- Kč</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300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4150" w:type="dxa"/>
            <w:gridSpan w:val="2"/>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Rekonstrukce MŠ Zámecká - projekce</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300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Sociální byty (čp. 70) - projekce</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200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5260" w:type="dxa"/>
            <w:gridSpan w:val="3"/>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Ostatní ( ZŠI k žádosti IROP, přístřešek na kontejner)</w:t>
            </w: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200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55"/>
        </w:trPr>
        <w:tc>
          <w:tcPr>
            <w:tcW w:w="3954" w:type="dxa"/>
            <w:tcBorders>
              <w:top w:val="nil"/>
              <w:left w:val="single" w:sz="8" w:space="0" w:color="auto"/>
              <w:bottom w:val="nil"/>
              <w:right w:val="nil"/>
            </w:tcBorders>
            <w:shd w:val="clear" w:color="auto" w:fill="auto"/>
            <w:noWrap/>
            <w:vAlign w:val="bottom"/>
            <w:hideMark/>
          </w:tcPr>
          <w:p w:rsidR="00211C55" w:rsidRDefault="00211C55">
            <w:pPr>
              <w:rPr>
                <w:rFonts w:ascii="Arial CE" w:hAnsi="Arial CE" w:cs="Arial CE"/>
                <w:sz w:val="18"/>
                <w:szCs w:val="18"/>
              </w:rPr>
            </w:pPr>
            <w:r>
              <w:rPr>
                <w:rFonts w:ascii="Arial CE" w:hAnsi="Arial CE" w:cs="Arial CE"/>
                <w:sz w:val="18"/>
                <w:szCs w:val="18"/>
              </w:rPr>
              <w:t>Nákup parkovacího automatu</w:t>
            </w:r>
          </w:p>
        </w:tc>
        <w:tc>
          <w:tcPr>
            <w:tcW w:w="196" w:type="dxa"/>
            <w:tcBorders>
              <w:top w:val="nil"/>
              <w:left w:val="nil"/>
              <w:bottom w:val="nil"/>
              <w:right w:val="nil"/>
            </w:tcBorders>
            <w:shd w:val="clear" w:color="auto" w:fill="auto"/>
            <w:noWrap/>
            <w:vAlign w:val="bottom"/>
            <w:hideMark/>
          </w:tcPr>
          <w:p w:rsidR="00211C55" w:rsidRDefault="00211C55">
            <w:pPr>
              <w:rPr>
                <w:rFonts w:ascii="Arial CE" w:hAnsi="Arial CE" w:cs="Arial CE"/>
                <w:sz w:val="16"/>
                <w:szCs w:val="16"/>
              </w:rPr>
            </w:pP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170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 </w:t>
            </w:r>
          </w:p>
        </w:tc>
      </w:tr>
      <w:tr w:rsidR="00211C55" w:rsidTr="005B6777">
        <w:trPr>
          <w:trHeight w:val="270"/>
        </w:trPr>
        <w:tc>
          <w:tcPr>
            <w:tcW w:w="4150" w:type="dxa"/>
            <w:gridSpan w:val="2"/>
            <w:tcBorders>
              <w:top w:val="nil"/>
              <w:left w:val="single" w:sz="4" w:space="0" w:color="auto"/>
              <w:bottom w:val="nil"/>
              <w:right w:val="nil"/>
            </w:tcBorders>
            <w:shd w:val="clear" w:color="auto" w:fill="auto"/>
            <w:noWrap/>
            <w:vAlign w:val="bottom"/>
            <w:hideMark/>
          </w:tcPr>
          <w:p w:rsidR="00211C55" w:rsidRDefault="00211C55">
            <w:pPr>
              <w:rPr>
                <w:rFonts w:ascii="Arial CE" w:hAnsi="Arial CE" w:cs="Arial CE"/>
                <w:sz w:val="18"/>
                <w:szCs w:val="18"/>
              </w:rPr>
            </w:pPr>
            <w:proofErr w:type="spellStart"/>
            <w:r>
              <w:rPr>
                <w:rFonts w:ascii="Arial CE" w:hAnsi="Arial CE" w:cs="Arial CE"/>
                <w:sz w:val="18"/>
                <w:szCs w:val="18"/>
              </w:rPr>
              <w:t>Metyšova</w:t>
            </w:r>
            <w:proofErr w:type="spellEnd"/>
            <w:r>
              <w:rPr>
                <w:rFonts w:ascii="Arial CE" w:hAnsi="Arial CE" w:cs="Arial CE"/>
                <w:sz w:val="18"/>
                <w:szCs w:val="18"/>
              </w:rPr>
              <w:t xml:space="preserve"> ul. - obnova </w:t>
            </w:r>
            <w:proofErr w:type="spellStart"/>
            <w:r>
              <w:rPr>
                <w:rFonts w:ascii="Arial CE" w:hAnsi="Arial CE" w:cs="Arial CE"/>
                <w:sz w:val="18"/>
                <w:szCs w:val="18"/>
              </w:rPr>
              <w:t>vodohosp</w:t>
            </w:r>
            <w:proofErr w:type="spellEnd"/>
            <w:r>
              <w:rPr>
                <w:rFonts w:ascii="Arial CE" w:hAnsi="Arial CE" w:cs="Arial CE"/>
                <w:sz w:val="18"/>
                <w:szCs w:val="18"/>
              </w:rPr>
              <w:t xml:space="preserve">. </w:t>
            </w:r>
            <w:proofErr w:type="gramStart"/>
            <w:r>
              <w:rPr>
                <w:rFonts w:ascii="Arial CE" w:hAnsi="Arial CE" w:cs="Arial CE"/>
                <w:sz w:val="18"/>
                <w:szCs w:val="18"/>
              </w:rPr>
              <w:t>sítí</w:t>
            </w:r>
            <w:proofErr w:type="gramEnd"/>
            <w:r>
              <w:rPr>
                <w:rFonts w:ascii="Arial CE" w:hAnsi="Arial CE" w:cs="Arial CE"/>
                <w:sz w:val="18"/>
                <w:szCs w:val="18"/>
              </w:rPr>
              <w:t xml:space="preserve"> a povrchu</w:t>
            </w:r>
          </w:p>
        </w:tc>
        <w:tc>
          <w:tcPr>
            <w:tcW w:w="1110" w:type="dxa"/>
            <w:tcBorders>
              <w:top w:val="nil"/>
              <w:left w:val="nil"/>
              <w:bottom w:val="nil"/>
              <w:right w:val="nil"/>
            </w:tcBorders>
            <w:shd w:val="clear" w:color="auto" w:fill="auto"/>
            <w:vAlign w:val="bottom"/>
            <w:hideMark/>
          </w:tcPr>
          <w:p w:rsidR="00211C55" w:rsidRDefault="00211C55">
            <w:pPr>
              <w:rPr>
                <w:rFonts w:ascii="Arial CE" w:hAnsi="Arial CE" w:cs="Arial CE"/>
                <w:sz w:val="16"/>
                <w:szCs w:val="16"/>
              </w:rPr>
            </w:pPr>
          </w:p>
        </w:tc>
        <w:tc>
          <w:tcPr>
            <w:tcW w:w="1559" w:type="dxa"/>
            <w:tcBorders>
              <w:top w:val="nil"/>
              <w:left w:val="single" w:sz="4" w:space="0" w:color="auto"/>
              <w:bottom w:val="nil"/>
              <w:right w:val="single" w:sz="4" w:space="0" w:color="auto"/>
            </w:tcBorders>
            <w:shd w:val="clear" w:color="auto" w:fill="auto"/>
            <w:noWrap/>
            <w:vAlign w:val="bottom"/>
            <w:hideMark/>
          </w:tcPr>
          <w:p w:rsidR="00211C55" w:rsidRDefault="00211C55">
            <w:pPr>
              <w:jc w:val="right"/>
              <w:rPr>
                <w:rFonts w:ascii="Arial CE" w:hAnsi="Arial CE" w:cs="Arial CE"/>
                <w:sz w:val="20"/>
                <w:szCs w:val="20"/>
              </w:rPr>
            </w:pPr>
            <w:r>
              <w:rPr>
                <w:rFonts w:ascii="Arial CE" w:hAnsi="Arial CE" w:cs="Arial CE"/>
                <w:sz w:val="20"/>
                <w:szCs w:val="20"/>
              </w:rPr>
              <w:t>100</w:t>
            </w:r>
          </w:p>
        </w:tc>
        <w:tc>
          <w:tcPr>
            <w:tcW w:w="2371" w:type="dxa"/>
            <w:tcBorders>
              <w:top w:val="nil"/>
              <w:left w:val="nil"/>
              <w:bottom w:val="nil"/>
              <w:right w:val="single" w:sz="8" w:space="0" w:color="auto"/>
            </w:tcBorders>
            <w:shd w:val="clear" w:color="auto" w:fill="auto"/>
            <w:vAlign w:val="bottom"/>
            <w:hideMark/>
          </w:tcPr>
          <w:p w:rsidR="00211C55" w:rsidRDefault="00211C55">
            <w:pPr>
              <w:rPr>
                <w:rFonts w:ascii="Arial CE" w:hAnsi="Arial CE" w:cs="Arial CE"/>
                <w:sz w:val="16"/>
                <w:szCs w:val="16"/>
              </w:rPr>
            </w:pPr>
            <w:r>
              <w:rPr>
                <w:rFonts w:ascii="Arial CE" w:hAnsi="Arial CE" w:cs="Arial CE"/>
                <w:sz w:val="16"/>
                <w:szCs w:val="16"/>
              </w:rPr>
              <w:t>doplatek</w:t>
            </w:r>
          </w:p>
        </w:tc>
      </w:tr>
      <w:tr w:rsidR="00211C55" w:rsidTr="005B6777">
        <w:trPr>
          <w:trHeight w:val="270"/>
        </w:trPr>
        <w:tc>
          <w:tcPr>
            <w:tcW w:w="3954" w:type="dxa"/>
            <w:tcBorders>
              <w:top w:val="single" w:sz="8" w:space="0" w:color="auto"/>
              <w:left w:val="single" w:sz="8" w:space="0" w:color="auto"/>
              <w:bottom w:val="single" w:sz="8" w:space="0" w:color="auto"/>
              <w:right w:val="nil"/>
            </w:tcBorders>
            <w:shd w:val="clear" w:color="auto" w:fill="auto"/>
            <w:noWrap/>
            <w:vAlign w:val="bottom"/>
            <w:hideMark/>
          </w:tcPr>
          <w:p w:rsidR="00211C55" w:rsidRDefault="00211C55">
            <w:pPr>
              <w:rPr>
                <w:rFonts w:ascii="Arial CE" w:hAnsi="Arial CE" w:cs="Arial CE"/>
                <w:b/>
                <w:bCs/>
                <w:sz w:val="20"/>
                <w:szCs w:val="20"/>
              </w:rPr>
            </w:pPr>
            <w:r>
              <w:rPr>
                <w:rFonts w:ascii="Arial CE" w:hAnsi="Arial CE" w:cs="Arial CE"/>
                <w:b/>
                <w:bCs/>
                <w:sz w:val="20"/>
                <w:szCs w:val="20"/>
              </w:rPr>
              <w:t>Celkem</w:t>
            </w:r>
          </w:p>
        </w:tc>
        <w:tc>
          <w:tcPr>
            <w:tcW w:w="196" w:type="dxa"/>
            <w:tcBorders>
              <w:top w:val="single" w:sz="8" w:space="0" w:color="auto"/>
              <w:left w:val="nil"/>
              <w:bottom w:val="single" w:sz="8" w:space="0" w:color="auto"/>
              <w:right w:val="nil"/>
            </w:tcBorders>
            <w:shd w:val="clear" w:color="auto" w:fill="auto"/>
            <w:noWrap/>
            <w:vAlign w:val="bottom"/>
            <w:hideMark/>
          </w:tcPr>
          <w:p w:rsidR="00211C55" w:rsidRDefault="00211C55">
            <w:pPr>
              <w:rPr>
                <w:rFonts w:ascii="Arial CE" w:hAnsi="Arial CE" w:cs="Arial CE"/>
                <w:b/>
                <w:bCs/>
                <w:sz w:val="20"/>
                <w:szCs w:val="20"/>
              </w:rPr>
            </w:pPr>
            <w:r>
              <w:rPr>
                <w:rFonts w:ascii="Arial CE" w:hAnsi="Arial CE" w:cs="Arial CE"/>
                <w:b/>
                <w:bCs/>
                <w:sz w:val="20"/>
                <w:szCs w:val="20"/>
              </w:rPr>
              <w:t> </w:t>
            </w:r>
          </w:p>
        </w:tc>
        <w:tc>
          <w:tcPr>
            <w:tcW w:w="1110" w:type="dxa"/>
            <w:tcBorders>
              <w:top w:val="single" w:sz="8" w:space="0" w:color="auto"/>
              <w:left w:val="nil"/>
              <w:bottom w:val="single" w:sz="8" w:space="0" w:color="auto"/>
              <w:right w:val="nil"/>
            </w:tcBorders>
            <w:shd w:val="clear" w:color="auto" w:fill="auto"/>
            <w:noWrap/>
            <w:vAlign w:val="bottom"/>
            <w:hideMark/>
          </w:tcPr>
          <w:p w:rsidR="00211C55" w:rsidRDefault="00211C55">
            <w:pPr>
              <w:rPr>
                <w:rFonts w:ascii="Arial CE" w:hAnsi="Arial CE" w:cs="Arial CE"/>
                <w:b/>
                <w:bCs/>
                <w:sz w:val="20"/>
                <w:szCs w:val="20"/>
              </w:rPr>
            </w:pPr>
            <w:r>
              <w:rPr>
                <w:rFonts w:ascii="Arial CE" w:hAnsi="Arial CE" w:cs="Arial CE"/>
                <w:b/>
                <w:bCs/>
                <w:sz w:val="20"/>
                <w:szCs w:val="20"/>
              </w:rPr>
              <w:t> </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11C55" w:rsidRDefault="00211C55">
            <w:pPr>
              <w:jc w:val="right"/>
              <w:rPr>
                <w:rFonts w:ascii="Arial CE" w:hAnsi="Arial CE" w:cs="Arial CE"/>
                <w:b/>
                <w:bCs/>
                <w:sz w:val="20"/>
                <w:szCs w:val="20"/>
              </w:rPr>
            </w:pPr>
            <w:r>
              <w:rPr>
                <w:rFonts w:ascii="Arial CE" w:hAnsi="Arial CE" w:cs="Arial CE"/>
                <w:b/>
                <w:bCs/>
                <w:sz w:val="20"/>
                <w:szCs w:val="20"/>
              </w:rPr>
              <w:t>59 432</w:t>
            </w:r>
          </w:p>
        </w:tc>
        <w:tc>
          <w:tcPr>
            <w:tcW w:w="2371" w:type="dxa"/>
            <w:tcBorders>
              <w:top w:val="single" w:sz="8" w:space="0" w:color="auto"/>
              <w:left w:val="nil"/>
              <w:bottom w:val="single" w:sz="8" w:space="0" w:color="auto"/>
              <w:right w:val="single" w:sz="8" w:space="0" w:color="auto"/>
            </w:tcBorders>
            <w:shd w:val="clear" w:color="auto" w:fill="auto"/>
            <w:noWrap/>
            <w:vAlign w:val="bottom"/>
            <w:hideMark/>
          </w:tcPr>
          <w:p w:rsidR="00211C55" w:rsidRDefault="00211C55">
            <w:pPr>
              <w:rPr>
                <w:rFonts w:ascii="Arial CE" w:hAnsi="Arial CE" w:cs="Arial CE"/>
                <w:sz w:val="16"/>
                <w:szCs w:val="16"/>
              </w:rPr>
            </w:pPr>
            <w:r>
              <w:rPr>
                <w:rFonts w:ascii="Arial CE" w:hAnsi="Arial CE" w:cs="Arial CE"/>
                <w:sz w:val="16"/>
                <w:szCs w:val="16"/>
              </w:rPr>
              <w:t> </w:t>
            </w:r>
          </w:p>
        </w:tc>
      </w:tr>
    </w:tbl>
    <w:p w:rsidR="00B51BA4" w:rsidRDefault="00B51BA4" w:rsidP="00742E30">
      <w:pPr>
        <w:jc w:val="both"/>
        <w:rPr>
          <w:i/>
          <w:sz w:val="20"/>
          <w:szCs w:val="20"/>
        </w:rPr>
      </w:pPr>
    </w:p>
    <w:p w:rsidR="00B51BA4" w:rsidRDefault="00B51BA4" w:rsidP="00ED41BA">
      <w:pPr>
        <w:ind w:left="170" w:firstLine="311"/>
        <w:jc w:val="both"/>
        <w:rPr>
          <w:i/>
          <w:sz w:val="20"/>
          <w:szCs w:val="20"/>
        </w:rPr>
      </w:pPr>
    </w:p>
    <w:tbl>
      <w:tblPr>
        <w:tblW w:w="9121" w:type="dxa"/>
        <w:tblInd w:w="55" w:type="dxa"/>
        <w:tblCellMar>
          <w:left w:w="70" w:type="dxa"/>
          <w:right w:w="70" w:type="dxa"/>
        </w:tblCellMar>
        <w:tblLook w:val="04A0" w:firstRow="1" w:lastRow="0" w:firstColumn="1" w:lastColumn="0" w:noHBand="0" w:noVBand="1"/>
      </w:tblPr>
      <w:tblGrid>
        <w:gridCol w:w="4009"/>
        <w:gridCol w:w="146"/>
        <w:gridCol w:w="1135"/>
        <w:gridCol w:w="1576"/>
        <w:gridCol w:w="2255"/>
      </w:tblGrid>
      <w:tr w:rsidR="00B51BA4" w:rsidTr="00742E30">
        <w:trPr>
          <w:trHeight w:val="225"/>
        </w:trPr>
        <w:tc>
          <w:tcPr>
            <w:tcW w:w="4009" w:type="dxa"/>
            <w:tcBorders>
              <w:top w:val="nil"/>
              <w:left w:val="nil"/>
              <w:bottom w:val="nil"/>
              <w:right w:val="nil"/>
            </w:tcBorders>
            <w:shd w:val="clear" w:color="auto" w:fill="auto"/>
            <w:noWrap/>
            <w:vAlign w:val="bottom"/>
          </w:tcPr>
          <w:p w:rsidR="00B51BA4" w:rsidRDefault="00B51BA4">
            <w:pPr>
              <w:rPr>
                <w:rFonts w:ascii="Arial" w:hAnsi="Arial" w:cs="Arial"/>
                <w:sz w:val="20"/>
                <w:szCs w:val="20"/>
              </w:rPr>
            </w:pPr>
          </w:p>
        </w:tc>
        <w:tc>
          <w:tcPr>
            <w:tcW w:w="146" w:type="dxa"/>
            <w:tcBorders>
              <w:top w:val="nil"/>
              <w:left w:val="nil"/>
              <w:bottom w:val="nil"/>
              <w:right w:val="nil"/>
            </w:tcBorders>
            <w:shd w:val="clear" w:color="auto" w:fill="auto"/>
            <w:noWrap/>
            <w:vAlign w:val="bottom"/>
          </w:tcPr>
          <w:p w:rsidR="00B51BA4" w:rsidRDefault="00B51BA4">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B51BA4" w:rsidRDefault="00B51BA4">
            <w:pPr>
              <w:rPr>
                <w:rFonts w:ascii="Arial" w:hAnsi="Arial" w:cs="Arial"/>
                <w:sz w:val="20"/>
                <w:szCs w:val="20"/>
              </w:rPr>
            </w:pPr>
          </w:p>
        </w:tc>
        <w:tc>
          <w:tcPr>
            <w:tcW w:w="1576" w:type="dxa"/>
            <w:tcBorders>
              <w:top w:val="nil"/>
              <w:left w:val="nil"/>
              <w:bottom w:val="nil"/>
              <w:right w:val="nil"/>
            </w:tcBorders>
            <w:shd w:val="clear" w:color="auto" w:fill="auto"/>
            <w:noWrap/>
            <w:vAlign w:val="bottom"/>
          </w:tcPr>
          <w:p w:rsidR="00B51BA4" w:rsidRDefault="00B51BA4">
            <w:pPr>
              <w:jc w:val="right"/>
              <w:rPr>
                <w:rFonts w:ascii="Arial" w:hAnsi="Arial" w:cs="Arial"/>
                <w:sz w:val="20"/>
                <w:szCs w:val="20"/>
              </w:rPr>
            </w:pPr>
          </w:p>
        </w:tc>
        <w:tc>
          <w:tcPr>
            <w:tcW w:w="2255" w:type="dxa"/>
            <w:tcBorders>
              <w:top w:val="nil"/>
              <w:left w:val="nil"/>
              <w:bottom w:val="nil"/>
              <w:right w:val="nil"/>
            </w:tcBorders>
            <w:shd w:val="clear" w:color="auto" w:fill="auto"/>
            <w:noWrap/>
            <w:vAlign w:val="bottom"/>
          </w:tcPr>
          <w:p w:rsidR="00B51BA4" w:rsidRDefault="00B51BA4">
            <w:pPr>
              <w:rPr>
                <w:rFonts w:ascii="Arial" w:hAnsi="Arial" w:cs="Arial"/>
                <w:sz w:val="16"/>
                <w:szCs w:val="16"/>
              </w:rPr>
            </w:pPr>
          </w:p>
        </w:tc>
      </w:tr>
      <w:tr w:rsidR="00B51BA4" w:rsidTr="00742E30">
        <w:trPr>
          <w:trHeight w:val="315"/>
        </w:trPr>
        <w:tc>
          <w:tcPr>
            <w:tcW w:w="4155" w:type="dxa"/>
            <w:gridSpan w:val="2"/>
            <w:tcBorders>
              <w:top w:val="nil"/>
              <w:left w:val="nil"/>
              <w:bottom w:val="nil"/>
              <w:right w:val="nil"/>
            </w:tcBorders>
            <w:shd w:val="clear" w:color="000000" w:fill="FFFF99"/>
            <w:noWrap/>
            <w:vAlign w:val="bottom"/>
            <w:hideMark/>
          </w:tcPr>
          <w:p w:rsidR="00B51BA4" w:rsidRDefault="00B51BA4">
            <w:pPr>
              <w:rPr>
                <w:rFonts w:ascii="Arial CE" w:hAnsi="Arial CE" w:cs="Arial CE"/>
                <w:b/>
                <w:bCs/>
              </w:rPr>
            </w:pPr>
            <w:r>
              <w:rPr>
                <w:rFonts w:ascii="Arial CE" w:hAnsi="Arial CE" w:cs="Arial CE"/>
                <w:b/>
                <w:bCs/>
              </w:rPr>
              <w:t>3) Údaje o bankovních úvěrech</w:t>
            </w:r>
          </w:p>
        </w:tc>
        <w:tc>
          <w:tcPr>
            <w:tcW w:w="1135" w:type="dxa"/>
            <w:tcBorders>
              <w:top w:val="nil"/>
              <w:left w:val="nil"/>
              <w:bottom w:val="nil"/>
              <w:right w:val="nil"/>
            </w:tcBorders>
            <w:shd w:val="clear" w:color="000000" w:fill="FFFF99"/>
            <w:noWrap/>
            <w:vAlign w:val="bottom"/>
            <w:hideMark/>
          </w:tcPr>
          <w:p w:rsidR="00B51BA4" w:rsidRDefault="00B51BA4">
            <w:pPr>
              <w:rPr>
                <w:rFonts w:ascii="Arial CE" w:hAnsi="Arial CE" w:cs="Arial CE"/>
                <w:b/>
                <w:bCs/>
                <w:sz w:val="20"/>
                <w:szCs w:val="20"/>
              </w:rPr>
            </w:pPr>
            <w:r>
              <w:rPr>
                <w:rFonts w:ascii="Arial CE" w:hAnsi="Arial CE" w:cs="Arial CE"/>
                <w:b/>
                <w:bCs/>
                <w:sz w:val="20"/>
                <w:szCs w:val="20"/>
              </w:rPr>
              <w:t> </w:t>
            </w:r>
          </w:p>
        </w:tc>
        <w:tc>
          <w:tcPr>
            <w:tcW w:w="1576" w:type="dxa"/>
            <w:tcBorders>
              <w:top w:val="nil"/>
              <w:left w:val="nil"/>
              <w:bottom w:val="nil"/>
              <w:right w:val="nil"/>
            </w:tcBorders>
            <w:shd w:val="clear" w:color="000000" w:fill="FFFF99"/>
            <w:noWrap/>
            <w:vAlign w:val="bottom"/>
            <w:hideMark/>
          </w:tcPr>
          <w:p w:rsidR="00B51BA4" w:rsidRDefault="00B51BA4">
            <w:pPr>
              <w:rPr>
                <w:rFonts w:ascii="Arial CE" w:hAnsi="Arial CE" w:cs="Arial CE"/>
                <w:b/>
                <w:bCs/>
                <w:sz w:val="20"/>
                <w:szCs w:val="20"/>
              </w:rPr>
            </w:pPr>
            <w:r>
              <w:rPr>
                <w:rFonts w:ascii="Arial CE" w:hAnsi="Arial CE" w:cs="Arial CE"/>
                <w:b/>
                <w:bCs/>
                <w:sz w:val="20"/>
                <w:szCs w:val="20"/>
              </w:rPr>
              <w:t> </w:t>
            </w:r>
          </w:p>
        </w:tc>
        <w:tc>
          <w:tcPr>
            <w:tcW w:w="2255" w:type="dxa"/>
            <w:tcBorders>
              <w:top w:val="nil"/>
              <w:left w:val="nil"/>
              <w:bottom w:val="nil"/>
              <w:right w:val="nil"/>
            </w:tcBorders>
            <w:shd w:val="clear" w:color="000000" w:fill="FFFF99"/>
            <w:noWrap/>
            <w:vAlign w:val="bottom"/>
            <w:hideMark/>
          </w:tcPr>
          <w:p w:rsidR="00B51BA4" w:rsidRDefault="00B51BA4">
            <w:pPr>
              <w:rPr>
                <w:rFonts w:ascii="Arial" w:hAnsi="Arial" w:cs="Arial"/>
                <w:sz w:val="20"/>
                <w:szCs w:val="20"/>
              </w:rPr>
            </w:pPr>
            <w:r>
              <w:rPr>
                <w:rFonts w:ascii="Arial" w:hAnsi="Arial" w:cs="Arial"/>
                <w:sz w:val="20"/>
                <w:szCs w:val="20"/>
              </w:rPr>
              <w:t> </w:t>
            </w:r>
          </w:p>
        </w:tc>
      </w:tr>
      <w:tr w:rsidR="00B51BA4" w:rsidRPr="00211C55" w:rsidTr="00742E30">
        <w:trPr>
          <w:trHeight w:val="405"/>
        </w:trPr>
        <w:tc>
          <w:tcPr>
            <w:tcW w:w="9121" w:type="dxa"/>
            <w:gridSpan w:val="5"/>
            <w:tcBorders>
              <w:top w:val="nil"/>
              <w:left w:val="nil"/>
              <w:bottom w:val="nil"/>
              <w:right w:val="nil"/>
            </w:tcBorders>
            <w:shd w:val="clear" w:color="auto" w:fill="auto"/>
            <w:noWrap/>
            <w:vAlign w:val="bottom"/>
            <w:hideMark/>
          </w:tcPr>
          <w:p w:rsidR="00B51BA4" w:rsidRPr="00211C55" w:rsidRDefault="00B51BA4" w:rsidP="005B6777">
            <w:pPr>
              <w:rPr>
                <w:rFonts w:ascii="Arial" w:hAnsi="Arial" w:cs="Arial"/>
                <w:sz w:val="20"/>
                <w:szCs w:val="20"/>
              </w:rPr>
            </w:pPr>
            <w:r w:rsidRPr="00211C55">
              <w:rPr>
                <w:rFonts w:ascii="Arial" w:hAnsi="Arial" w:cs="Arial"/>
                <w:sz w:val="20"/>
                <w:szCs w:val="20"/>
              </w:rPr>
              <w:t>Město Jilemnice nemá ke dni 1.</w:t>
            </w:r>
            <w:r w:rsidR="00211C55" w:rsidRPr="00211C55">
              <w:rPr>
                <w:rFonts w:ascii="Arial" w:hAnsi="Arial" w:cs="Arial"/>
                <w:sz w:val="20"/>
                <w:szCs w:val="20"/>
              </w:rPr>
              <w:t xml:space="preserve"> </w:t>
            </w:r>
            <w:r w:rsidRPr="00211C55">
              <w:rPr>
                <w:rFonts w:ascii="Arial" w:hAnsi="Arial" w:cs="Arial"/>
                <w:sz w:val="20"/>
                <w:szCs w:val="20"/>
              </w:rPr>
              <w:t>1.</w:t>
            </w:r>
            <w:r w:rsidR="00211C55" w:rsidRPr="00211C55">
              <w:rPr>
                <w:rFonts w:ascii="Arial" w:hAnsi="Arial" w:cs="Arial"/>
                <w:sz w:val="20"/>
                <w:szCs w:val="20"/>
              </w:rPr>
              <w:t xml:space="preserve"> </w:t>
            </w:r>
            <w:r w:rsidRPr="00211C55">
              <w:rPr>
                <w:rFonts w:ascii="Arial" w:hAnsi="Arial" w:cs="Arial"/>
                <w:sz w:val="20"/>
                <w:szCs w:val="20"/>
              </w:rPr>
              <w:t>201</w:t>
            </w:r>
            <w:r w:rsidR="005B6777">
              <w:rPr>
                <w:rFonts w:ascii="Arial" w:hAnsi="Arial" w:cs="Arial"/>
                <w:sz w:val="20"/>
                <w:szCs w:val="20"/>
              </w:rPr>
              <w:t>9</w:t>
            </w:r>
            <w:r w:rsidRPr="00211C55">
              <w:rPr>
                <w:rFonts w:ascii="Arial" w:hAnsi="Arial" w:cs="Arial"/>
                <w:sz w:val="20"/>
                <w:szCs w:val="20"/>
              </w:rPr>
              <w:t xml:space="preserve"> dlouhodobý ani </w:t>
            </w:r>
            <w:proofErr w:type="gramStart"/>
            <w:r w:rsidRPr="00211C55">
              <w:rPr>
                <w:rFonts w:ascii="Arial" w:hAnsi="Arial" w:cs="Arial"/>
                <w:sz w:val="20"/>
                <w:szCs w:val="20"/>
              </w:rPr>
              <w:t>krátkodobý  úvěr</w:t>
            </w:r>
            <w:proofErr w:type="gramEnd"/>
          </w:p>
        </w:tc>
      </w:tr>
    </w:tbl>
    <w:p w:rsidR="00211C55" w:rsidRPr="00211C55" w:rsidRDefault="00211C55" w:rsidP="00211C55">
      <w:pPr>
        <w:rPr>
          <w:rFonts w:ascii="Arial" w:hAnsi="Arial" w:cs="Arial"/>
          <w:sz w:val="20"/>
          <w:szCs w:val="20"/>
        </w:rPr>
      </w:pPr>
      <w:r w:rsidRPr="00211C55">
        <w:rPr>
          <w:rFonts w:ascii="Arial" w:hAnsi="Arial" w:cs="Arial"/>
          <w:sz w:val="20"/>
          <w:szCs w:val="20"/>
        </w:rPr>
        <w:t xml:space="preserve"> Zůstatek dodavatelského závazku z projektu EPC k 31. 12. 2018:</w:t>
      </w:r>
      <w:r w:rsidR="005B6777">
        <w:rPr>
          <w:rFonts w:ascii="Arial" w:hAnsi="Arial" w:cs="Arial"/>
          <w:sz w:val="20"/>
          <w:szCs w:val="20"/>
        </w:rPr>
        <w:t xml:space="preserve"> </w:t>
      </w:r>
      <w:r w:rsidRPr="00211C55">
        <w:rPr>
          <w:rFonts w:ascii="Arial" w:hAnsi="Arial" w:cs="Arial"/>
          <w:sz w:val="20"/>
          <w:szCs w:val="20"/>
        </w:rPr>
        <w:t>18 486 tis. Kč</w:t>
      </w:r>
    </w:p>
    <w:tbl>
      <w:tblPr>
        <w:tblW w:w="9121" w:type="dxa"/>
        <w:tblInd w:w="55" w:type="dxa"/>
        <w:tblCellMar>
          <w:left w:w="70" w:type="dxa"/>
          <w:right w:w="70" w:type="dxa"/>
        </w:tblCellMar>
        <w:tblLook w:val="04A0" w:firstRow="1" w:lastRow="0" w:firstColumn="1" w:lastColumn="0" w:noHBand="0" w:noVBand="1"/>
      </w:tblPr>
      <w:tblGrid>
        <w:gridCol w:w="9121"/>
      </w:tblGrid>
      <w:tr w:rsidR="00211C55" w:rsidTr="00742E30">
        <w:trPr>
          <w:trHeight w:val="405"/>
        </w:trPr>
        <w:tc>
          <w:tcPr>
            <w:tcW w:w="9121" w:type="dxa"/>
            <w:tcBorders>
              <w:top w:val="nil"/>
              <w:left w:val="nil"/>
              <w:bottom w:val="nil"/>
              <w:right w:val="nil"/>
            </w:tcBorders>
            <w:shd w:val="clear" w:color="auto" w:fill="auto"/>
            <w:noWrap/>
            <w:vAlign w:val="bottom"/>
          </w:tcPr>
          <w:p w:rsidR="00211C55" w:rsidRDefault="00211C55">
            <w:pPr>
              <w:rPr>
                <w:rFonts w:ascii="Arial" w:hAnsi="Arial" w:cs="Arial"/>
                <w:sz w:val="20"/>
                <w:szCs w:val="20"/>
              </w:rPr>
            </w:pPr>
          </w:p>
        </w:tc>
      </w:tr>
    </w:tbl>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ED41BA">
      <w:pPr>
        <w:ind w:left="170" w:firstLine="311"/>
        <w:jc w:val="both"/>
        <w:rPr>
          <w:i/>
          <w:sz w:val="20"/>
          <w:szCs w:val="20"/>
        </w:rPr>
      </w:pPr>
    </w:p>
    <w:p w:rsidR="00B51BA4" w:rsidRDefault="00B51BA4" w:rsidP="00F75DF9">
      <w:pPr>
        <w:jc w:val="both"/>
        <w:rPr>
          <w:i/>
          <w:sz w:val="20"/>
          <w:szCs w:val="20"/>
        </w:rPr>
      </w:pPr>
    </w:p>
    <w:p w:rsidR="00FD24F5" w:rsidRDefault="00FD24F5" w:rsidP="00ED41BA">
      <w:pPr>
        <w:ind w:left="170" w:firstLine="311"/>
        <w:jc w:val="both"/>
        <w:rPr>
          <w:i/>
          <w:sz w:val="20"/>
          <w:szCs w:val="20"/>
        </w:rPr>
      </w:pPr>
    </w:p>
    <w:p w:rsidR="00B51BA4" w:rsidRDefault="00B51BA4" w:rsidP="00742E30">
      <w:pPr>
        <w:jc w:val="both"/>
        <w:rPr>
          <w:i/>
          <w:sz w:val="20"/>
          <w:szCs w:val="20"/>
        </w:rPr>
      </w:pPr>
    </w:p>
    <w:p w:rsidR="00F75DF9" w:rsidRDefault="00F75DF9" w:rsidP="00742E30">
      <w:pPr>
        <w:jc w:val="both"/>
        <w:rPr>
          <w:i/>
          <w:sz w:val="20"/>
          <w:szCs w:val="20"/>
        </w:rPr>
      </w:pPr>
    </w:p>
    <w:p w:rsidR="00F75DF9" w:rsidRDefault="00F75DF9" w:rsidP="00742E30">
      <w:pPr>
        <w:jc w:val="both"/>
        <w:rPr>
          <w:i/>
          <w:sz w:val="20"/>
          <w:szCs w:val="20"/>
        </w:rPr>
      </w:pPr>
    </w:p>
    <w:p w:rsidR="00F75DF9" w:rsidRDefault="00F75DF9" w:rsidP="00742E30">
      <w:pPr>
        <w:jc w:val="both"/>
        <w:rPr>
          <w:i/>
          <w:sz w:val="20"/>
          <w:szCs w:val="20"/>
        </w:rPr>
      </w:pPr>
    </w:p>
    <w:p w:rsidR="00F75DF9" w:rsidRDefault="00F75DF9" w:rsidP="00742E30">
      <w:pPr>
        <w:jc w:val="both"/>
        <w:rPr>
          <w:i/>
          <w:sz w:val="20"/>
          <w:szCs w:val="20"/>
        </w:rPr>
      </w:pPr>
    </w:p>
    <w:p w:rsidR="00F75DF9" w:rsidRDefault="00F75DF9" w:rsidP="00742E30">
      <w:pPr>
        <w:jc w:val="both"/>
        <w:rPr>
          <w:i/>
          <w:sz w:val="20"/>
          <w:szCs w:val="20"/>
        </w:rPr>
      </w:pPr>
    </w:p>
    <w:p w:rsidR="00F75DF9" w:rsidRDefault="00F75DF9" w:rsidP="00742E30">
      <w:pPr>
        <w:jc w:val="both"/>
        <w:rPr>
          <w:i/>
          <w:sz w:val="20"/>
          <w:szCs w:val="20"/>
        </w:rPr>
      </w:pPr>
    </w:p>
    <w:tbl>
      <w:tblPr>
        <w:tblW w:w="30641" w:type="dxa"/>
        <w:tblInd w:w="70" w:type="dxa"/>
        <w:tblCellMar>
          <w:left w:w="70" w:type="dxa"/>
          <w:right w:w="70" w:type="dxa"/>
        </w:tblCellMar>
        <w:tblLook w:val="04A0" w:firstRow="1" w:lastRow="0" w:firstColumn="1" w:lastColumn="0" w:noHBand="0" w:noVBand="1"/>
      </w:tblPr>
      <w:tblGrid>
        <w:gridCol w:w="9468"/>
        <w:gridCol w:w="408"/>
        <w:gridCol w:w="327"/>
        <w:gridCol w:w="408"/>
        <w:gridCol w:w="327"/>
        <w:gridCol w:w="407"/>
        <w:gridCol w:w="327"/>
        <w:gridCol w:w="327"/>
        <w:gridCol w:w="956"/>
        <w:gridCol w:w="532"/>
        <w:gridCol w:w="532"/>
        <w:gridCol w:w="532"/>
        <w:gridCol w:w="532"/>
        <w:gridCol w:w="532"/>
        <w:gridCol w:w="532"/>
        <w:gridCol w:w="532"/>
        <w:gridCol w:w="532"/>
        <w:gridCol w:w="532"/>
        <w:gridCol w:w="532"/>
        <w:gridCol w:w="532"/>
        <w:gridCol w:w="532"/>
        <w:gridCol w:w="532"/>
        <w:gridCol w:w="532"/>
        <w:gridCol w:w="532"/>
        <w:gridCol w:w="655"/>
        <w:gridCol w:w="636"/>
        <w:gridCol w:w="636"/>
        <w:gridCol w:w="532"/>
        <w:gridCol w:w="532"/>
        <w:gridCol w:w="532"/>
        <w:gridCol w:w="532"/>
        <w:gridCol w:w="532"/>
        <w:gridCol w:w="532"/>
        <w:gridCol w:w="532"/>
        <w:gridCol w:w="532"/>
        <w:gridCol w:w="532"/>
        <w:gridCol w:w="532"/>
        <w:gridCol w:w="532"/>
        <w:gridCol w:w="655"/>
        <w:gridCol w:w="636"/>
        <w:gridCol w:w="636"/>
      </w:tblGrid>
      <w:tr w:rsidR="00B51BA4" w:rsidTr="006A438C">
        <w:trPr>
          <w:trHeight w:val="360"/>
        </w:trPr>
        <w:tc>
          <w:tcPr>
            <w:tcW w:w="28714" w:type="dxa"/>
            <w:gridSpan w:val="38"/>
            <w:tcBorders>
              <w:top w:val="nil"/>
              <w:left w:val="nil"/>
              <w:bottom w:val="nil"/>
              <w:right w:val="nil"/>
            </w:tcBorders>
            <w:shd w:val="clear" w:color="auto" w:fill="auto"/>
            <w:noWrap/>
            <w:vAlign w:val="bottom"/>
            <w:hideMark/>
          </w:tcPr>
          <w:p w:rsidR="00B51BA4" w:rsidRDefault="008A56CA" w:rsidP="005B6777">
            <w:pPr>
              <w:rPr>
                <w:rFonts w:ascii="Arial CE" w:hAnsi="Arial CE" w:cs="Arial CE"/>
                <w:b/>
                <w:bCs/>
                <w:sz w:val="28"/>
                <w:szCs w:val="28"/>
              </w:rPr>
            </w:pPr>
            <w:r>
              <w:rPr>
                <w:rFonts w:ascii="Arial CE" w:hAnsi="Arial CE" w:cs="Arial CE"/>
                <w:b/>
                <w:bCs/>
              </w:rPr>
              <w:lastRenderedPageBreak/>
              <w:t xml:space="preserve">4) </w:t>
            </w:r>
            <w:r w:rsidR="00B51BA4" w:rsidRPr="008A56CA">
              <w:rPr>
                <w:rFonts w:ascii="Arial CE" w:hAnsi="Arial CE" w:cs="Arial CE"/>
                <w:b/>
                <w:bCs/>
              </w:rPr>
              <w:t>Skutečné příjmy ze sdílených a výlučných daní v letech 200</w:t>
            </w:r>
            <w:r w:rsidR="005B6777">
              <w:rPr>
                <w:rFonts w:ascii="Arial CE" w:hAnsi="Arial CE" w:cs="Arial CE"/>
                <w:b/>
                <w:bCs/>
              </w:rPr>
              <w:t>4</w:t>
            </w:r>
            <w:r w:rsidR="00B51BA4" w:rsidRPr="008A56CA">
              <w:rPr>
                <w:rFonts w:ascii="Arial CE" w:hAnsi="Arial CE" w:cs="Arial CE"/>
                <w:b/>
                <w:bCs/>
              </w:rPr>
              <w:t>-201</w:t>
            </w:r>
            <w:r w:rsidR="005B6777">
              <w:rPr>
                <w:rFonts w:ascii="Arial CE" w:hAnsi="Arial CE" w:cs="Arial CE"/>
                <w:b/>
                <w:bCs/>
              </w:rPr>
              <w:t>9</w:t>
            </w: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r>
      <w:tr w:rsidR="00B51BA4" w:rsidTr="006A438C">
        <w:trPr>
          <w:trHeight w:val="270"/>
        </w:trPr>
        <w:tc>
          <w:tcPr>
            <w:tcW w:w="20403" w:type="dxa"/>
            <w:gridSpan w:val="23"/>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tbl>
            <w:tblPr>
              <w:tblW w:w="10348" w:type="dxa"/>
              <w:tblCellMar>
                <w:left w:w="70" w:type="dxa"/>
                <w:right w:w="70" w:type="dxa"/>
              </w:tblCellMar>
              <w:tblLook w:val="04A0" w:firstRow="1" w:lastRow="0" w:firstColumn="1" w:lastColumn="0" w:noHBand="0" w:noVBand="1"/>
            </w:tblPr>
            <w:tblGrid>
              <w:gridCol w:w="1276"/>
              <w:gridCol w:w="567"/>
              <w:gridCol w:w="620"/>
              <w:gridCol w:w="514"/>
              <w:gridCol w:w="567"/>
              <w:gridCol w:w="567"/>
              <w:gridCol w:w="567"/>
              <w:gridCol w:w="567"/>
              <w:gridCol w:w="567"/>
              <w:gridCol w:w="567"/>
              <w:gridCol w:w="567"/>
              <w:gridCol w:w="567"/>
              <w:gridCol w:w="567"/>
              <w:gridCol w:w="567"/>
              <w:gridCol w:w="567"/>
              <w:gridCol w:w="567"/>
              <w:gridCol w:w="567"/>
            </w:tblGrid>
            <w:tr w:rsidR="00E36B95" w:rsidTr="00E36B95">
              <w:trPr>
                <w:trHeight w:val="270"/>
              </w:trPr>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druh daně</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2004</w:t>
                  </w:r>
                </w:p>
              </w:tc>
              <w:tc>
                <w:tcPr>
                  <w:tcW w:w="620"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2005</w:t>
                  </w:r>
                </w:p>
              </w:tc>
              <w:tc>
                <w:tcPr>
                  <w:tcW w:w="514"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2006</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2007</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2008</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2009</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2010</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2011</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2012</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2013</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2014</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2015</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2016</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2017</w:t>
                  </w:r>
                </w:p>
              </w:tc>
              <w:tc>
                <w:tcPr>
                  <w:tcW w:w="567" w:type="dxa"/>
                  <w:tcBorders>
                    <w:top w:val="single" w:sz="8" w:space="0" w:color="auto"/>
                    <w:left w:val="nil"/>
                    <w:bottom w:val="single" w:sz="8" w:space="0" w:color="auto"/>
                    <w:right w:val="single" w:sz="4" w:space="0" w:color="auto"/>
                  </w:tcBorders>
                  <w:shd w:val="clear" w:color="auto" w:fill="auto"/>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2018</w:t>
                  </w:r>
                </w:p>
              </w:tc>
              <w:tc>
                <w:tcPr>
                  <w:tcW w:w="567" w:type="dxa"/>
                  <w:tcBorders>
                    <w:top w:val="single" w:sz="8" w:space="0" w:color="auto"/>
                    <w:left w:val="nil"/>
                    <w:bottom w:val="single" w:sz="8" w:space="0" w:color="auto"/>
                    <w:right w:val="single" w:sz="4" w:space="0" w:color="auto"/>
                  </w:tcBorders>
                  <w:shd w:val="clear" w:color="000000" w:fill="FFFF00"/>
                  <w:noWrap/>
                  <w:vAlign w:val="bottom"/>
                  <w:hideMark/>
                </w:tcPr>
                <w:p w:rsidR="00E36B95" w:rsidRDefault="00E36B95">
                  <w:pPr>
                    <w:jc w:val="center"/>
                    <w:rPr>
                      <w:rFonts w:ascii="Arial CE" w:hAnsi="Arial CE" w:cs="Arial CE"/>
                      <w:b/>
                      <w:bCs/>
                      <w:sz w:val="12"/>
                      <w:szCs w:val="12"/>
                    </w:rPr>
                  </w:pPr>
                  <w:r>
                    <w:rPr>
                      <w:rFonts w:ascii="Arial CE" w:hAnsi="Arial CE" w:cs="Arial CE"/>
                      <w:b/>
                      <w:bCs/>
                      <w:sz w:val="12"/>
                      <w:szCs w:val="12"/>
                    </w:rPr>
                    <w:t>R 2019</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ze závislé činnosti</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8 656</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9 123</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9 132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10 339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9 525</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9 012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8 986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9 577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9 681</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12 987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13 577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13 857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15 512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17 400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19 851</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20 000</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FO z přiznání</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5 788</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6 185</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4 528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3 660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5 451</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1 433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1 996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1 299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1 466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1 005</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1 413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1 440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1 364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509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423</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500</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z právnických osob</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8 576</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9 494</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9 696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10 931</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12 842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8 904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8 732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8 139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8 960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11 770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13 460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13 666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15 443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15 696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15 358</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16 000</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DPH</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12 641</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14 935</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15 652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16 558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18 362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17 902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18 833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19 325</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18 079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25 573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27 258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27 046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28 298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31 836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37 790</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38 000</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srážková</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546</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460</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524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602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739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713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717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778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912</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1 224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1 406</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1 473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1 494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1 474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1 673</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1 600</w:t>
                  </w:r>
                </w:p>
              </w:tc>
            </w:tr>
            <w:tr w:rsidR="00E36B95" w:rsidTr="00E36B95">
              <w:trPr>
                <w:trHeight w:val="255"/>
              </w:trPr>
              <w:tc>
                <w:tcPr>
                  <w:tcW w:w="1276" w:type="dxa"/>
                  <w:tcBorders>
                    <w:top w:val="nil"/>
                    <w:left w:val="single" w:sz="8" w:space="0" w:color="auto"/>
                    <w:bottom w:val="nil"/>
                    <w:right w:val="single" w:sz="4" w:space="0" w:color="auto"/>
                  </w:tcBorders>
                  <w:shd w:val="clear" w:color="auto" w:fill="auto"/>
                  <w:noWrap/>
                  <w:vAlign w:val="bottom"/>
                  <w:hideMark/>
                </w:tcPr>
                <w:p w:rsidR="00E36B95" w:rsidRDefault="00E36B95">
                  <w:pPr>
                    <w:rPr>
                      <w:rFonts w:ascii="Arial" w:hAnsi="Arial" w:cs="Arial"/>
                      <w:sz w:val="12"/>
                      <w:szCs w:val="12"/>
                    </w:rPr>
                  </w:pPr>
                  <w:r>
                    <w:rPr>
                      <w:rFonts w:ascii="Arial" w:hAnsi="Arial" w:cs="Arial"/>
                      <w:sz w:val="12"/>
                      <w:szCs w:val="12"/>
                    </w:rPr>
                    <w:t>z nemovitosti</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2 277</w:t>
                  </w:r>
                </w:p>
              </w:tc>
              <w:tc>
                <w:tcPr>
                  <w:tcW w:w="620"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2 201</w:t>
                  </w:r>
                </w:p>
              </w:tc>
              <w:tc>
                <w:tcPr>
                  <w:tcW w:w="514"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2 300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2 307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2 299</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2 288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3 710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3 691</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4 234</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4 033</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3 970</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3 957</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4 021</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4 018</w:t>
                  </w:r>
                </w:p>
              </w:tc>
              <w:tc>
                <w:tcPr>
                  <w:tcW w:w="567" w:type="dxa"/>
                  <w:tcBorders>
                    <w:top w:val="nil"/>
                    <w:left w:val="nil"/>
                    <w:bottom w:val="nil"/>
                    <w:right w:val="single" w:sz="4" w:space="0" w:color="auto"/>
                  </w:tcBorders>
                  <w:shd w:val="clear" w:color="auto" w:fill="auto"/>
                  <w:noWrap/>
                  <w:vAlign w:val="bottom"/>
                  <w:hideMark/>
                </w:tcPr>
                <w:p w:rsidR="00E36B95" w:rsidRDefault="00E36B95">
                  <w:pPr>
                    <w:jc w:val="right"/>
                    <w:rPr>
                      <w:rFonts w:ascii="Arial" w:hAnsi="Arial" w:cs="Arial"/>
                      <w:sz w:val="12"/>
                      <w:szCs w:val="12"/>
                    </w:rPr>
                  </w:pPr>
                  <w:r>
                    <w:rPr>
                      <w:rFonts w:ascii="Arial" w:hAnsi="Arial" w:cs="Arial"/>
                      <w:sz w:val="12"/>
                      <w:szCs w:val="12"/>
                    </w:rPr>
                    <w:t>4 083</w:t>
                  </w:r>
                </w:p>
              </w:tc>
              <w:tc>
                <w:tcPr>
                  <w:tcW w:w="567" w:type="dxa"/>
                  <w:tcBorders>
                    <w:top w:val="nil"/>
                    <w:left w:val="nil"/>
                    <w:bottom w:val="nil"/>
                    <w:right w:val="single" w:sz="4" w:space="0" w:color="auto"/>
                  </w:tcBorders>
                  <w:shd w:val="clear" w:color="000000" w:fill="FFFF00"/>
                  <w:noWrap/>
                  <w:vAlign w:val="bottom"/>
                  <w:hideMark/>
                </w:tcPr>
                <w:p w:rsidR="00E36B95" w:rsidRDefault="00E36B95">
                  <w:pPr>
                    <w:jc w:val="right"/>
                    <w:rPr>
                      <w:rFonts w:ascii="Arial" w:hAnsi="Arial" w:cs="Arial"/>
                      <w:sz w:val="12"/>
                      <w:szCs w:val="12"/>
                    </w:rPr>
                  </w:pPr>
                  <w:r>
                    <w:rPr>
                      <w:rFonts w:ascii="Arial" w:hAnsi="Arial" w:cs="Arial"/>
                      <w:sz w:val="12"/>
                      <w:szCs w:val="12"/>
                    </w:rPr>
                    <w:t>4 000</w:t>
                  </w:r>
                </w:p>
              </w:tc>
            </w:tr>
            <w:tr w:rsidR="00E36B95" w:rsidTr="00E36B95">
              <w:trPr>
                <w:trHeight w:val="27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E36B95" w:rsidRDefault="00E36B95">
                  <w:pPr>
                    <w:rPr>
                      <w:rFonts w:ascii="Arial" w:hAnsi="Arial" w:cs="Arial"/>
                      <w:b/>
                      <w:bCs/>
                      <w:sz w:val="12"/>
                      <w:szCs w:val="12"/>
                    </w:rPr>
                  </w:pPr>
                  <w:r>
                    <w:rPr>
                      <w:rFonts w:ascii="Arial" w:hAnsi="Arial" w:cs="Arial"/>
                      <w:b/>
                      <w:bCs/>
                      <w:sz w:val="12"/>
                      <w:szCs w:val="12"/>
                    </w:rPr>
                    <w:t xml:space="preserve">Celkem </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38 484</w:t>
                  </w:r>
                </w:p>
              </w:tc>
              <w:tc>
                <w:tcPr>
                  <w:tcW w:w="620"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42 398</w:t>
                  </w:r>
                </w:p>
              </w:tc>
              <w:tc>
                <w:tcPr>
                  <w:tcW w:w="514"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41 832</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44 397</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49 218</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40 252</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42 974</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42 809</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43 331</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56 592</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61 084</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61 439</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66 132</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70 933</w:t>
                  </w:r>
                </w:p>
              </w:tc>
              <w:tc>
                <w:tcPr>
                  <w:tcW w:w="567" w:type="dxa"/>
                  <w:tcBorders>
                    <w:top w:val="nil"/>
                    <w:left w:val="nil"/>
                    <w:bottom w:val="single" w:sz="8" w:space="0" w:color="auto"/>
                    <w:right w:val="single" w:sz="4" w:space="0" w:color="auto"/>
                  </w:tcBorders>
                  <w:shd w:val="clear" w:color="auto" w:fill="auto"/>
                  <w:noWrap/>
                  <w:vAlign w:val="bottom"/>
                  <w:hideMark/>
                </w:tcPr>
                <w:p w:rsidR="00E36B95" w:rsidRDefault="00E36B95">
                  <w:pPr>
                    <w:jc w:val="right"/>
                    <w:rPr>
                      <w:rFonts w:ascii="Arial" w:hAnsi="Arial" w:cs="Arial"/>
                      <w:b/>
                      <w:bCs/>
                      <w:sz w:val="12"/>
                      <w:szCs w:val="12"/>
                    </w:rPr>
                  </w:pPr>
                  <w:r>
                    <w:rPr>
                      <w:rFonts w:ascii="Arial" w:hAnsi="Arial" w:cs="Arial"/>
                      <w:b/>
                      <w:bCs/>
                      <w:sz w:val="12"/>
                      <w:szCs w:val="12"/>
                    </w:rPr>
                    <w:t>79 178</w:t>
                  </w:r>
                </w:p>
              </w:tc>
              <w:tc>
                <w:tcPr>
                  <w:tcW w:w="567" w:type="dxa"/>
                  <w:tcBorders>
                    <w:top w:val="nil"/>
                    <w:left w:val="nil"/>
                    <w:bottom w:val="single" w:sz="8" w:space="0" w:color="auto"/>
                    <w:right w:val="single" w:sz="4" w:space="0" w:color="auto"/>
                  </w:tcBorders>
                  <w:shd w:val="clear" w:color="000000" w:fill="FFFF00"/>
                  <w:noWrap/>
                  <w:vAlign w:val="bottom"/>
                  <w:hideMark/>
                </w:tcPr>
                <w:p w:rsidR="00E36B95" w:rsidRDefault="00E36B95">
                  <w:pPr>
                    <w:jc w:val="right"/>
                    <w:rPr>
                      <w:rFonts w:ascii="Arial" w:hAnsi="Arial" w:cs="Arial"/>
                      <w:b/>
                      <w:bCs/>
                      <w:sz w:val="12"/>
                      <w:szCs w:val="12"/>
                    </w:rPr>
                  </w:pPr>
                  <w:r>
                    <w:rPr>
                      <w:rFonts w:ascii="Arial" w:hAnsi="Arial" w:cs="Arial"/>
                      <w:b/>
                      <w:bCs/>
                      <w:sz w:val="12"/>
                      <w:szCs w:val="12"/>
                    </w:rPr>
                    <w:t>80 100</w:t>
                  </w:r>
                </w:p>
              </w:tc>
            </w:tr>
          </w:tbl>
          <w:p w:rsidR="00B51BA4" w:rsidRDefault="00B51BA4">
            <w:pPr>
              <w:rPr>
                <w:rFonts w:ascii="Arial CE" w:hAnsi="Arial CE" w:cs="Arial CE"/>
                <w:sz w:val="20"/>
                <w:szCs w:val="20"/>
              </w:rPr>
            </w:pPr>
          </w:p>
          <w:p w:rsidR="00E36B95" w:rsidRDefault="00E36B95">
            <w:pPr>
              <w:rPr>
                <w:rFonts w:ascii="Arial CE" w:hAnsi="Arial CE" w:cs="Arial CE"/>
                <w:sz w:val="20"/>
                <w:szCs w:val="20"/>
              </w:rPr>
            </w:pPr>
          </w:p>
          <w:p w:rsidR="00E36B95" w:rsidRDefault="00E36B95">
            <w:pPr>
              <w:rPr>
                <w:rFonts w:ascii="Arial CE" w:hAnsi="Arial CE" w:cs="Arial CE"/>
                <w:sz w:val="20"/>
                <w:szCs w:val="20"/>
              </w:rPr>
            </w:pPr>
          </w:p>
          <w:p w:rsidR="00E36B95" w:rsidRDefault="00E36B95">
            <w:pPr>
              <w:rPr>
                <w:rFonts w:ascii="Arial CE" w:hAnsi="Arial CE" w:cs="Arial CE"/>
                <w:sz w:val="20"/>
                <w:szCs w:val="20"/>
              </w:rPr>
            </w:pPr>
          </w:p>
          <w:p w:rsidR="00E36B95" w:rsidRDefault="00E36B95">
            <w:pPr>
              <w:rPr>
                <w:rFonts w:ascii="Arial CE" w:hAnsi="Arial CE" w:cs="Arial CE"/>
                <w:sz w:val="20"/>
                <w:szCs w:val="20"/>
              </w:rPr>
            </w:pPr>
          </w:p>
          <w:p w:rsidR="00E36B95" w:rsidRDefault="00E36B95">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w:hAnsi="Arial" w:cs="Arial"/>
                <w:sz w:val="16"/>
                <w:szCs w:val="16"/>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E36B95">
            <w:pPr>
              <w:rPr>
                <w:rFonts w:ascii="Arial CE" w:hAnsi="Arial CE" w:cs="Arial CE"/>
                <w:sz w:val="20"/>
                <w:szCs w:val="20"/>
              </w:rPr>
            </w:pPr>
            <w:r>
              <w:rPr>
                <w:noProof/>
              </w:rPr>
              <w:drawing>
                <wp:inline distT="0" distB="0" distL="0" distR="0" wp14:anchorId="239EC076" wp14:editId="1C4A3587">
                  <wp:extent cx="5972810" cy="4654550"/>
                  <wp:effectExtent l="0" t="0" r="46990" b="317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B51BA4" w:rsidTr="006A438C">
        <w:trPr>
          <w:gridAfter w:val="14"/>
          <w:wAfter w:w="7779" w:type="dxa"/>
          <w:trHeight w:val="255"/>
        </w:trPr>
        <w:tc>
          <w:tcPr>
            <w:tcW w:w="12955" w:type="dxa"/>
            <w:gridSpan w:val="9"/>
            <w:tcBorders>
              <w:top w:val="nil"/>
              <w:left w:val="nil"/>
              <w:bottom w:val="nil"/>
              <w:right w:val="nil"/>
            </w:tcBorders>
            <w:shd w:val="clear" w:color="auto" w:fill="auto"/>
            <w:noWrap/>
            <w:vAlign w:val="bottom"/>
            <w:hideMark/>
          </w:tcPr>
          <w:tbl>
            <w:tblPr>
              <w:tblW w:w="10524" w:type="dxa"/>
              <w:tblCellMar>
                <w:left w:w="70" w:type="dxa"/>
                <w:right w:w="70" w:type="dxa"/>
              </w:tblCellMar>
              <w:tblLook w:val="04A0" w:firstRow="1" w:lastRow="0" w:firstColumn="1" w:lastColumn="0" w:noHBand="0" w:noVBand="1"/>
            </w:tblPr>
            <w:tblGrid>
              <w:gridCol w:w="1620"/>
              <w:gridCol w:w="636"/>
              <w:gridCol w:w="636"/>
              <w:gridCol w:w="636"/>
              <w:gridCol w:w="636"/>
              <w:gridCol w:w="636"/>
              <w:gridCol w:w="636"/>
              <w:gridCol w:w="636"/>
              <w:gridCol w:w="636"/>
              <w:gridCol w:w="636"/>
              <w:gridCol w:w="636"/>
              <w:gridCol w:w="636"/>
              <w:gridCol w:w="636"/>
              <w:gridCol w:w="636"/>
              <w:gridCol w:w="636"/>
            </w:tblGrid>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bl>
                  <w:tblPr>
                    <w:tblW w:w="0" w:type="auto"/>
                    <w:tblCellSpacing w:w="0" w:type="dxa"/>
                    <w:tblCellMar>
                      <w:left w:w="0" w:type="dxa"/>
                      <w:right w:w="0" w:type="dxa"/>
                    </w:tblCellMar>
                    <w:tblLook w:val="04A0" w:firstRow="1" w:lastRow="0" w:firstColumn="1" w:lastColumn="0" w:noHBand="0" w:noVBand="1"/>
                  </w:tblPr>
                  <w:tblGrid>
                    <w:gridCol w:w="1480"/>
                  </w:tblGrid>
                  <w:tr w:rsidR="00211C55">
                    <w:trPr>
                      <w:trHeight w:val="255"/>
                      <w:tblCellSpacing w:w="0" w:type="dxa"/>
                    </w:trPr>
                    <w:tc>
                      <w:tcPr>
                        <w:tcW w:w="1480" w:type="dxa"/>
                        <w:tcBorders>
                          <w:top w:val="nil"/>
                          <w:left w:val="nil"/>
                          <w:bottom w:val="nil"/>
                          <w:right w:val="nil"/>
                        </w:tcBorders>
                        <w:shd w:val="clear" w:color="auto" w:fill="auto"/>
                        <w:noWrap/>
                        <w:vAlign w:val="bottom"/>
                        <w:hideMark/>
                      </w:tcPr>
                      <w:p w:rsidR="00211C55" w:rsidRDefault="006A438C">
                        <w:pPr>
                          <w:rPr>
                            <w:rFonts w:ascii="Arial CE" w:hAnsi="Arial CE" w:cs="Arial CE"/>
                            <w:sz w:val="20"/>
                            <w:szCs w:val="20"/>
                          </w:rPr>
                        </w:pPr>
                        <w:bookmarkStart w:id="0" w:name="RANGE!B7:R63"/>
                        <w:bookmarkEnd w:id="0"/>
                        <w:r>
                          <w:rPr>
                            <w:rFonts w:ascii="Arial CE" w:hAnsi="Arial CE" w:cs="Arial CE"/>
                            <w:noProof/>
                            <w:sz w:val="20"/>
                            <w:szCs w:val="20"/>
                          </w:rPr>
                          <w:lastRenderedPageBreak/>
                          <w:drawing>
                            <wp:anchor distT="0" distB="0" distL="114300" distR="114300" simplePos="0" relativeHeight="251669504" behindDoc="0" locked="0" layoutInCell="1" allowOverlap="1" wp14:anchorId="65F43A88" wp14:editId="65765FFA">
                              <wp:simplePos x="0" y="0"/>
                              <wp:positionH relativeFrom="column">
                                <wp:posOffset>19685</wp:posOffset>
                              </wp:positionH>
                              <wp:positionV relativeFrom="paragraph">
                                <wp:posOffset>-19050</wp:posOffset>
                              </wp:positionV>
                              <wp:extent cx="5857875" cy="4410075"/>
                              <wp:effectExtent l="0" t="0" r="28575" b="28575"/>
                              <wp:wrapNone/>
                              <wp:docPr id="8" name="Graf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bl>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w:hAnsi="Arial" w:cs="Arial"/>
                      <w:sz w:val="16"/>
                      <w:szCs w:val="16"/>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r>
                    <w:rPr>
                      <w:rFonts w:ascii="Arial CE" w:hAnsi="Arial CE" w:cs="Arial CE"/>
                      <w:noProof/>
                      <w:sz w:val="20"/>
                      <w:szCs w:val="20"/>
                    </w:rPr>
                    <w:drawing>
                      <wp:anchor distT="0" distB="0" distL="114300" distR="114300" simplePos="0" relativeHeight="251670528" behindDoc="0" locked="0" layoutInCell="1" allowOverlap="1" wp14:anchorId="094CDB3B" wp14:editId="64831F01">
                        <wp:simplePos x="0" y="0"/>
                        <wp:positionH relativeFrom="column">
                          <wp:posOffset>635</wp:posOffset>
                        </wp:positionH>
                        <wp:positionV relativeFrom="paragraph">
                          <wp:posOffset>104775</wp:posOffset>
                        </wp:positionV>
                        <wp:extent cx="5876925" cy="4076700"/>
                        <wp:effectExtent l="0" t="0" r="28575" b="38100"/>
                        <wp:wrapNone/>
                        <wp:docPr id="3"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211C55">
                    <w:trPr>
                      <w:trHeight w:val="255"/>
                      <w:tblCellSpacing w:w="0" w:type="dxa"/>
                    </w:trPr>
                    <w:tc>
                      <w:tcPr>
                        <w:tcW w:w="148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bl>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r w:rsidR="00211C55" w:rsidTr="006A438C">
              <w:trPr>
                <w:trHeight w:val="255"/>
              </w:trPr>
              <w:tc>
                <w:tcPr>
                  <w:tcW w:w="1620"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c>
                <w:tcPr>
                  <w:tcW w:w="636" w:type="dxa"/>
                  <w:tcBorders>
                    <w:top w:val="nil"/>
                    <w:left w:val="nil"/>
                    <w:bottom w:val="nil"/>
                    <w:right w:val="nil"/>
                  </w:tcBorders>
                  <w:shd w:val="clear" w:color="auto" w:fill="auto"/>
                  <w:noWrap/>
                  <w:vAlign w:val="bottom"/>
                  <w:hideMark/>
                </w:tcPr>
                <w:p w:rsidR="00211C55" w:rsidRDefault="00211C55">
                  <w:pPr>
                    <w:rPr>
                      <w:rFonts w:ascii="Arial CE" w:hAnsi="Arial CE" w:cs="Arial CE"/>
                      <w:sz w:val="20"/>
                      <w:szCs w:val="20"/>
                    </w:rPr>
                  </w:pPr>
                </w:p>
              </w:tc>
            </w:tr>
          </w:tbl>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532"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55" w:type="dxa"/>
            <w:tcBorders>
              <w:top w:val="nil"/>
              <w:left w:val="nil"/>
              <w:bottom w:val="nil"/>
              <w:right w:val="nil"/>
            </w:tcBorders>
            <w:shd w:val="clear" w:color="auto" w:fill="auto"/>
            <w:noWrap/>
            <w:vAlign w:val="bottom"/>
            <w:hideMark/>
          </w:tcPr>
          <w:p w:rsidR="00B51BA4" w:rsidRDefault="00B51BA4">
            <w:pPr>
              <w:rPr>
                <w:rFonts w:ascii="Arial CE" w:hAnsi="Arial CE" w:cs="Arial CE"/>
                <w:sz w:val="20"/>
                <w:szCs w:val="20"/>
              </w:rPr>
            </w:pPr>
          </w:p>
        </w:tc>
        <w:tc>
          <w:tcPr>
            <w:tcW w:w="636" w:type="dxa"/>
            <w:vAlign w:val="center"/>
            <w:hideMark/>
          </w:tcPr>
          <w:p w:rsidR="00B51BA4" w:rsidRDefault="00B51BA4">
            <w:pPr>
              <w:rPr>
                <w:sz w:val="20"/>
                <w:szCs w:val="20"/>
              </w:rPr>
            </w:pPr>
          </w:p>
        </w:tc>
        <w:tc>
          <w:tcPr>
            <w:tcW w:w="636" w:type="dxa"/>
            <w:vAlign w:val="center"/>
            <w:hideMark/>
          </w:tcPr>
          <w:p w:rsidR="00B51BA4" w:rsidRDefault="00B51BA4">
            <w:pPr>
              <w:rPr>
                <w:sz w:val="20"/>
                <w:szCs w:val="20"/>
              </w:rPr>
            </w:pPr>
          </w:p>
        </w:tc>
      </w:tr>
      <w:tr w:rsidR="00F75DF9" w:rsidTr="006A438C">
        <w:trPr>
          <w:gridAfter w:val="33"/>
          <w:wAfter w:w="18642" w:type="dxa"/>
          <w:trHeight w:val="255"/>
        </w:trPr>
        <w:tc>
          <w:tcPr>
            <w:tcW w:w="9468" w:type="dxa"/>
            <w:tcBorders>
              <w:top w:val="nil"/>
              <w:left w:val="nil"/>
              <w:bottom w:val="nil"/>
              <w:right w:val="nil"/>
            </w:tcBorders>
            <w:shd w:val="clear" w:color="auto" w:fill="auto"/>
            <w:noWrap/>
            <w:vAlign w:val="bottom"/>
          </w:tcPr>
          <w:p w:rsidR="00F75DF9" w:rsidRDefault="00F75DF9">
            <w:pPr>
              <w:rPr>
                <w:rFonts w:ascii="Arial" w:hAnsi="Arial" w:cs="Arial"/>
                <w:sz w:val="20"/>
                <w:szCs w:val="20"/>
              </w:rPr>
            </w:pPr>
          </w:p>
        </w:tc>
        <w:tc>
          <w:tcPr>
            <w:tcW w:w="408"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327"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408"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327"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407"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327"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c>
          <w:tcPr>
            <w:tcW w:w="327" w:type="dxa"/>
            <w:tcBorders>
              <w:top w:val="nil"/>
              <w:left w:val="nil"/>
              <w:bottom w:val="nil"/>
              <w:right w:val="nil"/>
            </w:tcBorders>
            <w:shd w:val="clear" w:color="auto" w:fill="auto"/>
            <w:noWrap/>
            <w:vAlign w:val="bottom"/>
          </w:tcPr>
          <w:p w:rsidR="00F75DF9" w:rsidRDefault="00F75DF9">
            <w:pPr>
              <w:rPr>
                <w:rFonts w:ascii="Arial" w:hAnsi="Arial" w:cs="Arial"/>
                <w:sz w:val="16"/>
                <w:szCs w:val="16"/>
              </w:rPr>
            </w:pPr>
          </w:p>
        </w:tc>
      </w:tr>
      <w:tr w:rsidR="006A438C" w:rsidTr="008A1A34">
        <w:trPr>
          <w:gridAfter w:val="33"/>
          <w:wAfter w:w="18642" w:type="dxa"/>
          <w:trHeight w:val="255"/>
        </w:trPr>
        <w:tc>
          <w:tcPr>
            <w:tcW w:w="9468" w:type="dxa"/>
            <w:tcBorders>
              <w:top w:val="nil"/>
              <w:left w:val="nil"/>
              <w:bottom w:val="nil"/>
              <w:right w:val="nil"/>
            </w:tcBorders>
            <w:shd w:val="clear" w:color="auto" w:fill="auto"/>
            <w:noWrap/>
            <w:vAlign w:val="bottom"/>
            <w:hideMark/>
          </w:tcPr>
          <w:tbl>
            <w:tblPr>
              <w:tblW w:w="8852" w:type="dxa"/>
              <w:tblCellMar>
                <w:left w:w="70" w:type="dxa"/>
                <w:right w:w="70" w:type="dxa"/>
              </w:tblCellMar>
              <w:tblLook w:val="04A0" w:firstRow="1" w:lastRow="0" w:firstColumn="1" w:lastColumn="0" w:noHBand="0" w:noVBand="1"/>
            </w:tblPr>
            <w:tblGrid>
              <w:gridCol w:w="2040"/>
              <w:gridCol w:w="976"/>
              <w:gridCol w:w="976"/>
              <w:gridCol w:w="976"/>
              <w:gridCol w:w="976"/>
              <w:gridCol w:w="976"/>
              <w:gridCol w:w="976"/>
              <w:gridCol w:w="956"/>
            </w:tblGrid>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r w:rsidRPr="008A1A34">
                    <w:rPr>
                      <w:rFonts w:ascii="Arial" w:hAnsi="Arial" w:cs="Arial"/>
                      <w:noProof/>
                      <w:sz w:val="20"/>
                      <w:szCs w:val="20"/>
                      <w:highlight w:val="yellow"/>
                    </w:rPr>
                    <w:lastRenderedPageBreak/>
                    <w:drawing>
                      <wp:anchor distT="0" distB="0" distL="114300" distR="114300" simplePos="0" relativeHeight="251675648" behindDoc="0" locked="0" layoutInCell="1" allowOverlap="1" wp14:anchorId="65718738" wp14:editId="4F5D4F7A">
                        <wp:simplePos x="0" y="0"/>
                        <wp:positionH relativeFrom="column">
                          <wp:posOffset>-50165</wp:posOffset>
                        </wp:positionH>
                        <wp:positionV relativeFrom="paragraph">
                          <wp:posOffset>-5080</wp:posOffset>
                        </wp:positionV>
                        <wp:extent cx="5553075" cy="4295775"/>
                        <wp:effectExtent l="0" t="0" r="28575" b="28575"/>
                        <wp:wrapNone/>
                        <wp:docPr id="7" name="Graf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r w:rsidR="008A1A34" w:rsidTr="008A1A34">
              <w:trPr>
                <w:trHeight w:val="255"/>
              </w:trPr>
              <w:tc>
                <w:tcPr>
                  <w:tcW w:w="2040" w:type="dxa"/>
                  <w:tcBorders>
                    <w:top w:val="nil"/>
                    <w:left w:val="nil"/>
                    <w:bottom w:val="nil"/>
                    <w:right w:val="nil"/>
                  </w:tcBorders>
                  <w:shd w:val="clear" w:color="auto" w:fill="auto"/>
                  <w:noWrap/>
                  <w:vAlign w:val="bottom"/>
                  <w:hideMark/>
                </w:tcPr>
                <w:p w:rsidR="008A1A34" w:rsidRPr="008A1A34" w:rsidRDefault="008A1A34">
                  <w:pPr>
                    <w:rPr>
                      <w:rFonts w:ascii="Arial" w:hAnsi="Arial" w:cs="Arial"/>
                      <w:sz w:val="20"/>
                      <w:szCs w:val="20"/>
                      <w:highlight w:val="yellow"/>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8A1A34" w:rsidRDefault="008A1A34">
                  <w:pPr>
                    <w:rPr>
                      <w:rFonts w:ascii="Arial" w:hAnsi="Arial" w:cs="Arial"/>
                      <w:sz w:val="16"/>
                      <w:szCs w:val="16"/>
                    </w:rPr>
                  </w:pPr>
                </w:p>
              </w:tc>
            </w:tr>
          </w:tbl>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CB6DCE">
            <w:pPr>
              <w:rPr>
                <w:rFonts w:ascii="Arial" w:hAnsi="Arial" w:cs="Arial"/>
                <w:sz w:val="20"/>
                <w:szCs w:val="20"/>
              </w:rPr>
            </w:pPr>
            <w:bookmarkStart w:id="1" w:name="_GoBack"/>
            <w:r>
              <w:rPr>
                <w:rFonts w:ascii="Arial" w:hAnsi="Arial" w:cs="Arial"/>
                <w:sz w:val="20"/>
                <w:szCs w:val="20"/>
              </w:rPr>
              <w:pict w14:anchorId="04BA1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6" o:spid="_x0000_s1029" type="#_x0000_t75" style="position:absolute;margin-left:.75pt;margin-top:5.8pt;width:452.8pt;height:402.75pt;z-index:251673600;visibility:visible;mso-position-horizontal-relative:text;mso-position-vertical-relative:text"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">
                  <v:imagedata r:id="rId12" o:title=""/>
                  <o:lock v:ext="edit" aspectratio="f"/>
                </v:shape>
              </w:pict>
            </w:r>
            <w:bookmarkEnd w:id="1"/>
          </w:p>
          <w:tbl>
            <w:tblPr>
              <w:tblW w:w="0" w:type="auto"/>
              <w:tblCellSpacing w:w="0" w:type="dxa"/>
              <w:tblCellMar>
                <w:left w:w="0" w:type="dxa"/>
                <w:right w:w="0" w:type="dxa"/>
              </w:tblCellMar>
              <w:tblLook w:val="04A0" w:firstRow="1" w:lastRow="0" w:firstColumn="1" w:lastColumn="0" w:noHBand="0" w:noVBand="1"/>
            </w:tblPr>
            <w:tblGrid>
              <w:gridCol w:w="1900"/>
            </w:tblGrid>
            <w:tr w:rsidR="006A438C">
              <w:trPr>
                <w:trHeight w:val="255"/>
                <w:tblCellSpacing w:w="0" w:type="dxa"/>
              </w:trPr>
              <w:tc>
                <w:tcPr>
                  <w:tcW w:w="1900"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r>
          </w:tbl>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6A438C"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6A438C" w:rsidRDefault="006A438C">
            <w:pPr>
              <w:rPr>
                <w:rFonts w:ascii="Arial" w:hAnsi="Arial" w:cs="Arial"/>
                <w:sz w:val="20"/>
                <w:szCs w:val="20"/>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6A438C" w:rsidRDefault="006A438C">
            <w:pPr>
              <w:rPr>
                <w:rFonts w:ascii="Arial" w:hAnsi="Arial" w:cs="Arial"/>
                <w:sz w:val="16"/>
                <w:szCs w:val="16"/>
              </w:rPr>
            </w:pPr>
          </w:p>
        </w:tc>
      </w:tr>
      <w:tr w:rsidR="00FD24F5" w:rsidTr="006A438C">
        <w:trPr>
          <w:gridAfter w:val="33"/>
          <w:wAfter w:w="18642" w:type="dxa"/>
          <w:trHeight w:val="255"/>
        </w:trPr>
        <w:tc>
          <w:tcPr>
            <w:tcW w:w="9468" w:type="dxa"/>
            <w:tcBorders>
              <w:top w:val="nil"/>
              <w:left w:val="nil"/>
              <w:bottom w:val="nil"/>
              <w:right w:val="nil"/>
            </w:tcBorders>
            <w:shd w:val="clear" w:color="auto" w:fill="auto"/>
            <w:noWrap/>
            <w:vAlign w:val="bottom"/>
            <w:hideMark/>
          </w:tcPr>
          <w:p w:rsidR="00FD24F5" w:rsidRDefault="006A438C">
            <w:pPr>
              <w:rPr>
                <w:rFonts w:ascii="Arial" w:hAnsi="Arial" w:cs="Arial"/>
                <w:sz w:val="20"/>
                <w:szCs w:val="20"/>
              </w:rPr>
            </w:pPr>
            <w:r>
              <w:rPr>
                <w:noProof/>
              </w:rPr>
              <w:lastRenderedPageBreak/>
              <w:drawing>
                <wp:inline distT="0" distB="0" distL="0" distR="0" wp14:anchorId="2367F74D" wp14:editId="6687008A">
                  <wp:extent cx="5467350" cy="2781300"/>
                  <wp:effectExtent l="0" t="0" r="38100" b="3810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08"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408"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407"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c>
          <w:tcPr>
            <w:tcW w:w="327" w:type="dxa"/>
            <w:tcBorders>
              <w:top w:val="nil"/>
              <w:left w:val="nil"/>
              <w:bottom w:val="nil"/>
              <w:right w:val="nil"/>
            </w:tcBorders>
            <w:shd w:val="clear" w:color="auto" w:fill="auto"/>
            <w:noWrap/>
            <w:vAlign w:val="bottom"/>
            <w:hideMark/>
          </w:tcPr>
          <w:p w:rsidR="00FD24F5" w:rsidRDefault="00FD24F5">
            <w:pPr>
              <w:rPr>
                <w:rFonts w:ascii="Arial" w:hAnsi="Arial" w:cs="Arial"/>
                <w:sz w:val="16"/>
                <w:szCs w:val="16"/>
              </w:rPr>
            </w:pPr>
          </w:p>
        </w:tc>
      </w:tr>
    </w:tbl>
    <w:p w:rsidR="00FD24F5" w:rsidRDefault="00FD24F5" w:rsidP="00742E30">
      <w:pPr>
        <w:jc w:val="both"/>
        <w:rPr>
          <w:i/>
          <w:sz w:val="20"/>
          <w:szCs w:val="20"/>
        </w:rPr>
      </w:pPr>
    </w:p>
    <w:p w:rsidR="006A438C" w:rsidRDefault="006A438C" w:rsidP="00742E30">
      <w:pPr>
        <w:jc w:val="both"/>
        <w:rPr>
          <w:i/>
          <w:sz w:val="20"/>
          <w:szCs w:val="20"/>
        </w:rPr>
      </w:pPr>
    </w:p>
    <w:p w:rsidR="006A438C" w:rsidRDefault="006A438C" w:rsidP="00742E30">
      <w:pPr>
        <w:jc w:val="both"/>
        <w:rPr>
          <w:i/>
          <w:sz w:val="20"/>
          <w:szCs w:val="20"/>
        </w:rPr>
      </w:pPr>
      <w:r>
        <w:rPr>
          <w:noProof/>
        </w:rPr>
        <w:drawing>
          <wp:inline distT="0" distB="0" distL="0" distR="0" wp14:anchorId="5DAC8E2A" wp14:editId="30B407A1">
            <wp:extent cx="5505450" cy="2857500"/>
            <wp:effectExtent l="0" t="0" r="38100" b="3810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38C" w:rsidRDefault="006A438C" w:rsidP="00742E30">
      <w:pPr>
        <w:jc w:val="both"/>
        <w:rPr>
          <w:i/>
          <w:sz w:val="20"/>
          <w:szCs w:val="20"/>
        </w:rPr>
      </w:pPr>
    </w:p>
    <w:p w:rsidR="006A438C" w:rsidRDefault="006A438C" w:rsidP="00742E30">
      <w:pPr>
        <w:jc w:val="both"/>
        <w:rPr>
          <w:i/>
          <w:sz w:val="20"/>
          <w:szCs w:val="20"/>
        </w:rPr>
      </w:pPr>
    </w:p>
    <w:p w:rsidR="006A438C" w:rsidRPr="00D800D8" w:rsidRDefault="006A438C" w:rsidP="00742E30">
      <w:pPr>
        <w:jc w:val="both"/>
        <w:rPr>
          <w:i/>
          <w:sz w:val="20"/>
          <w:szCs w:val="20"/>
        </w:rPr>
      </w:pPr>
      <w:r>
        <w:rPr>
          <w:noProof/>
        </w:rPr>
        <w:drawing>
          <wp:inline distT="0" distB="0" distL="0" distR="0" wp14:anchorId="7AFAC2B4" wp14:editId="010C6CDB">
            <wp:extent cx="5505450" cy="2533650"/>
            <wp:effectExtent l="0" t="0" r="38100" b="3810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6A438C" w:rsidRPr="00D800D8" w:rsidSect="00BB1563">
      <w:headerReference w:type="default" r:id="rId16"/>
      <w:pgSz w:w="11906" w:h="16838"/>
      <w:pgMar w:top="1021" w:right="1134" w:bottom="1418" w:left="1134"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DCE" w:rsidRDefault="00CB6DCE" w:rsidP="00BB1563">
      <w:r>
        <w:separator/>
      </w:r>
    </w:p>
  </w:endnote>
  <w:endnote w:type="continuationSeparator" w:id="0">
    <w:p w:rsidR="00CB6DCE" w:rsidRDefault="00CB6DCE" w:rsidP="00BB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DCE" w:rsidRDefault="00CB6DCE" w:rsidP="00BB1563">
      <w:r>
        <w:separator/>
      </w:r>
    </w:p>
  </w:footnote>
  <w:footnote w:type="continuationSeparator" w:id="0">
    <w:p w:rsidR="00CB6DCE" w:rsidRDefault="00CB6DCE" w:rsidP="00BB1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1496"/>
      <w:docPartObj>
        <w:docPartGallery w:val="Page Numbers (Top of Page)"/>
        <w:docPartUnique/>
      </w:docPartObj>
    </w:sdtPr>
    <w:sdtEndPr/>
    <w:sdtContent>
      <w:p w:rsidR="00BB1563" w:rsidRDefault="00BB1563">
        <w:pPr>
          <w:pStyle w:val="Zhlav"/>
          <w:jc w:val="center"/>
        </w:pPr>
        <w:r>
          <w:fldChar w:fldCharType="begin"/>
        </w:r>
        <w:r>
          <w:instrText>PAGE   \* MERGEFORMAT</w:instrText>
        </w:r>
        <w:r>
          <w:fldChar w:fldCharType="separate"/>
        </w:r>
        <w:r w:rsidR="008A1A34">
          <w:rPr>
            <w:noProof/>
          </w:rPr>
          <w:t>3</w:t>
        </w:r>
        <w:r>
          <w:fldChar w:fldCharType="end"/>
        </w:r>
      </w:p>
    </w:sdtContent>
  </w:sdt>
  <w:p w:rsidR="00BB1563" w:rsidRDefault="00BB15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FEB"/>
    <w:multiLevelType w:val="hybridMultilevel"/>
    <w:tmpl w:val="7DEA1C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B07448A"/>
    <w:multiLevelType w:val="multilevel"/>
    <w:tmpl w:val="62BAF182"/>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C973A89"/>
    <w:multiLevelType w:val="hybridMultilevel"/>
    <w:tmpl w:val="337C8348"/>
    <w:lvl w:ilvl="0" w:tplc="0405000F">
      <w:start w:val="1"/>
      <w:numFmt w:val="decimal"/>
      <w:lvlText w:val="%1."/>
      <w:lvlJc w:val="left"/>
      <w:pPr>
        <w:tabs>
          <w:tab w:val="num" w:pos="930"/>
        </w:tabs>
        <w:ind w:left="930" w:hanging="360"/>
      </w:p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3">
    <w:nsid w:val="491E3DE0"/>
    <w:multiLevelType w:val="hybridMultilevel"/>
    <w:tmpl w:val="4F38664E"/>
    <w:lvl w:ilvl="0" w:tplc="0405000F">
      <w:start w:val="1"/>
      <w:numFmt w:val="decimal"/>
      <w:lvlText w:val="%1."/>
      <w:lvlJc w:val="left"/>
      <w:pPr>
        <w:ind w:left="930" w:hanging="360"/>
      </w:p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4">
    <w:nsid w:val="53216985"/>
    <w:multiLevelType w:val="multilevel"/>
    <w:tmpl w:val="EFC02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84A4B9D"/>
    <w:multiLevelType w:val="hybridMultilevel"/>
    <w:tmpl w:val="13F88E4C"/>
    <w:lvl w:ilvl="0" w:tplc="AE0C84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1CA554A"/>
    <w:multiLevelType w:val="hybridMultilevel"/>
    <w:tmpl w:val="0002BB2E"/>
    <w:lvl w:ilvl="0" w:tplc="0405000F">
      <w:start w:val="1"/>
      <w:numFmt w:val="decimal"/>
      <w:lvlText w:val="%1."/>
      <w:lvlJc w:val="left"/>
      <w:pPr>
        <w:tabs>
          <w:tab w:val="num" w:pos="890"/>
        </w:tabs>
        <w:ind w:left="890" w:hanging="360"/>
      </w:pPr>
    </w:lvl>
    <w:lvl w:ilvl="1" w:tplc="04050019" w:tentative="1">
      <w:start w:val="1"/>
      <w:numFmt w:val="lowerLetter"/>
      <w:lvlText w:val="%2."/>
      <w:lvlJc w:val="left"/>
      <w:pPr>
        <w:tabs>
          <w:tab w:val="num" w:pos="1610"/>
        </w:tabs>
        <w:ind w:left="1610" w:hanging="360"/>
      </w:pPr>
    </w:lvl>
    <w:lvl w:ilvl="2" w:tplc="0405001B" w:tentative="1">
      <w:start w:val="1"/>
      <w:numFmt w:val="lowerRoman"/>
      <w:lvlText w:val="%3."/>
      <w:lvlJc w:val="right"/>
      <w:pPr>
        <w:tabs>
          <w:tab w:val="num" w:pos="2330"/>
        </w:tabs>
        <w:ind w:left="2330" w:hanging="180"/>
      </w:pPr>
    </w:lvl>
    <w:lvl w:ilvl="3" w:tplc="0405000F" w:tentative="1">
      <w:start w:val="1"/>
      <w:numFmt w:val="decimal"/>
      <w:lvlText w:val="%4."/>
      <w:lvlJc w:val="left"/>
      <w:pPr>
        <w:tabs>
          <w:tab w:val="num" w:pos="3050"/>
        </w:tabs>
        <w:ind w:left="3050" w:hanging="360"/>
      </w:pPr>
    </w:lvl>
    <w:lvl w:ilvl="4" w:tplc="04050019" w:tentative="1">
      <w:start w:val="1"/>
      <w:numFmt w:val="lowerLetter"/>
      <w:lvlText w:val="%5."/>
      <w:lvlJc w:val="left"/>
      <w:pPr>
        <w:tabs>
          <w:tab w:val="num" w:pos="3770"/>
        </w:tabs>
        <w:ind w:left="3770" w:hanging="360"/>
      </w:pPr>
    </w:lvl>
    <w:lvl w:ilvl="5" w:tplc="0405001B" w:tentative="1">
      <w:start w:val="1"/>
      <w:numFmt w:val="lowerRoman"/>
      <w:lvlText w:val="%6."/>
      <w:lvlJc w:val="right"/>
      <w:pPr>
        <w:tabs>
          <w:tab w:val="num" w:pos="4490"/>
        </w:tabs>
        <w:ind w:left="4490" w:hanging="180"/>
      </w:pPr>
    </w:lvl>
    <w:lvl w:ilvl="6" w:tplc="0405000F" w:tentative="1">
      <w:start w:val="1"/>
      <w:numFmt w:val="decimal"/>
      <w:lvlText w:val="%7."/>
      <w:lvlJc w:val="left"/>
      <w:pPr>
        <w:tabs>
          <w:tab w:val="num" w:pos="5210"/>
        </w:tabs>
        <w:ind w:left="5210" w:hanging="360"/>
      </w:pPr>
    </w:lvl>
    <w:lvl w:ilvl="7" w:tplc="04050019" w:tentative="1">
      <w:start w:val="1"/>
      <w:numFmt w:val="lowerLetter"/>
      <w:lvlText w:val="%8."/>
      <w:lvlJc w:val="left"/>
      <w:pPr>
        <w:tabs>
          <w:tab w:val="num" w:pos="5930"/>
        </w:tabs>
        <w:ind w:left="5930" w:hanging="360"/>
      </w:pPr>
    </w:lvl>
    <w:lvl w:ilvl="8" w:tplc="0405001B" w:tentative="1">
      <w:start w:val="1"/>
      <w:numFmt w:val="lowerRoman"/>
      <w:lvlText w:val="%9."/>
      <w:lvlJc w:val="right"/>
      <w:pPr>
        <w:tabs>
          <w:tab w:val="num" w:pos="6650"/>
        </w:tabs>
        <w:ind w:left="6650" w:hanging="180"/>
      </w:pPr>
    </w:lvl>
  </w:abstractNum>
  <w:abstractNum w:abstractNumId="7">
    <w:nsid w:val="6EFC022F"/>
    <w:multiLevelType w:val="hybridMultilevel"/>
    <w:tmpl w:val="0356729E"/>
    <w:lvl w:ilvl="0" w:tplc="04050001">
      <w:start w:val="1"/>
      <w:numFmt w:val="bullet"/>
      <w:lvlText w:val=""/>
      <w:lvlJc w:val="left"/>
      <w:pPr>
        <w:ind w:left="1610" w:hanging="360"/>
      </w:pPr>
      <w:rPr>
        <w:rFonts w:ascii="Symbol" w:hAnsi="Symbol" w:hint="default"/>
      </w:rPr>
    </w:lvl>
    <w:lvl w:ilvl="1" w:tplc="04050003" w:tentative="1">
      <w:start w:val="1"/>
      <w:numFmt w:val="bullet"/>
      <w:lvlText w:val="o"/>
      <w:lvlJc w:val="left"/>
      <w:pPr>
        <w:ind w:left="2330" w:hanging="360"/>
      </w:pPr>
      <w:rPr>
        <w:rFonts w:ascii="Courier New" w:hAnsi="Courier New" w:cs="Courier New" w:hint="default"/>
      </w:rPr>
    </w:lvl>
    <w:lvl w:ilvl="2" w:tplc="04050005" w:tentative="1">
      <w:start w:val="1"/>
      <w:numFmt w:val="bullet"/>
      <w:lvlText w:val=""/>
      <w:lvlJc w:val="left"/>
      <w:pPr>
        <w:ind w:left="3050" w:hanging="360"/>
      </w:pPr>
      <w:rPr>
        <w:rFonts w:ascii="Wingdings" w:hAnsi="Wingdings" w:hint="default"/>
      </w:rPr>
    </w:lvl>
    <w:lvl w:ilvl="3" w:tplc="04050001" w:tentative="1">
      <w:start w:val="1"/>
      <w:numFmt w:val="bullet"/>
      <w:lvlText w:val=""/>
      <w:lvlJc w:val="left"/>
      <w:pPr>
        <w:ind w:left="3770" w:hanging="360"/>
      </w:pPr>
      <w:rPr>
        <w:rFonts w:ascii="Symbol" w:hAnsi="Symbol" w:hint="default"/>
      </w:rPr>
    </w:lvl>
    <w:lvl w:ilvl="4" w:tplc="04050003" w:tentative="1">
      <w:start w:val="1"/>
      <w:numFmt w:val="bullet"/>
      <w:lvlText w:val="o"/>
      <w:lvlJc w:val="left"/>
      <w:pPr>
        <w:ind w:left="4490" w:hanging="360"/>
      </w:pPr>
      <w:rPr>
        <w:rFonts w:ascii="Courier New" w:hAnsi="Courier New" w:cs="Courier New" w:hint="default"/>
      </w:rPr>
    </w:lvl>
    <w:lvl w:ilvl="5" w:tplc="04050005" w:tentative="1">
      <w:start w:val="1"/>
      <w:numFmt w:val="bullet"/>
      <w:lvlText w:val=""/>
      <w:lvlJc w:val="left"/>
      <w:pPr>
        <w:ind w:left="5210" w:hanging="360"/>
      </w:pPr>
      <w:rPr>
        <w:rFonts w:ascii="Wingdings" w:hAnsi="Wingdings" w:hint="default"/>
      </w:rPr>
    </w:lvl>
    <w:lvl w:ilvl="6" w:tplc="04050001" w:tentative="1">
      <w:start w:val="1"/>
      <w:numFmt w:val="bullet"/>
      <w:lvlText w:val=""/>
      <w:lvlJc w:val="left"/>
      <w:pPr>
        <w:ind w:left="5930" w:hanging="360"/>
      </w:pPr>
      <w:rPr>
        <w:rFonts w:ascii="Symbol" w:hAnsi="Symbol" w:hint="default"/>
      </w:rPr>
    </w:lvl>
    <w:lvl w:ilvl="7" w:tplc="04050003" w:tentative="1">
      <w:start w:val="1"/>
      <w:numFmt w:val="bullet"/>
      <w:lvlText w:val="o"/>
      <w:lvlJc w:val="left"/>
      <w:pPr>
        <w:ind w:left="6650" w:hanging="360"/>
      </w:pPr>
      <w:rPr>
        <w:rFonts w:ascii="Courier New" w:hAnsi="Courier New" w:cs="Courier New" w:hint="default"/>
      </w:rPr>
    </w:lvl>
    <w:lvl w:ilvl="8" w:tplc="04050005" w:tentative="1">
      <w:start w:val="1"/>
      <w:numFmt w:val="bullet"/>
      <w:lvlText w:val=""/>
      <w:lvlJc w:val="left"/>
      <w:pPr>
        <w:ind w:left="7370" w:hanging="360"/>
      </w:pPr>
      <w:rPr>
        <w:rFonts w:ascii="Wingdings" w:hAnsi="Wingdings" w:hint="default"/>
      </w:rPr>
    </w:lvl>
  </w:abstractNum>
  <w:abstractNum w:abstractNumId="8">
    <w:nsid w:val="7B46098F"/>
    <w:multiLevelType w:val="hybridMultilevel"/>
    <w:tmpl w:val="904C2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6C"/>
    <w:rsid w:val="00003193"/>
    <w:rsid w:val="00007DBB"/>
    <w:rsid w:val="0003362E"/>
    <w:rsid w:val="0004324E"/>
    <w:rsid w:val="000513BA"/>
    <w:rsid w:val="00060ABB"/>
    <w:rsid w:val="000664FF"/>
    <w:rsid w:val="000756FE"/>
    <w:rsid w:val="000A1373"/>
    <w:rsid w:val="000A2285"/>
    <w:rsid w:val="000A541D"/>
    <w:rsid w:val="000D2C51"/>
    <w:rsid w:val="000D4D7E"/>
    <w:rsid w:val="000D7CB8"/>
    <w:rsid w:val="000E7B9B"/>
    <w:rsid w:val="0010213D"/>
    <w:rsid w:val="00103652"/>
    <w:rsid w:val="00106133"/>
    <w:rsid w:val="00125184"/>
    <w:rsid w:val="00135244"/>
    <w:rsid w:val="00144818"/>
    <w:rsid w:val="00152B02"/>
    <w:rsid w:val="00153120"/>
    <w:rsid w:val="00177461"/>
    <w:rsid w:val="00186FD4"/>
    <w:rsid w:val="001B5229"/>
    <w:rsid w:val="001B601E"/>
    <w:rsid w:val="001C3042"/>
    <w:rsid w:val="001D3818"/>
    <w:rsid w:val="001E558A"/>
    <w:rsid w:val="001F7B16"/>
    <w:rsid w:val="00211C55"/>
    <w:rsid w:val="002234E9"/>
    <w:rsid w:val="00236210"/>
    <w:rsid w:val="00265D02"/>
    <w:rsid w:val="00291BE6"/>
    <w:rsid w:val="00296170"/>
    <w:rsid w:val="002A08F8"/>
    <w:rsid w:val="002A71DC"/>
    <w:rsid w:val="002B1FA0"/>
    <w:rsid w:val="002B31BA"/>
    <w:rsid w:val="002B3CE7"/>
    <w:rsid w:val="002C6E05"/>
    <w:rsid w:val="00331CCF"/>
    <w:rsid w:val="00333C77"/>
    <w:rsid w:val="00362954"/>
    <w:rsid w:val="003710A7"/>
    <w:rsid w:val="0037729A"/>
    <w:rsid w:val="00381F45"/>
    <w:rsid w:val="00390AAB"/>
    <w:rsid w:val="003A0920"/>
    <w:rsid w:val="003B46CE"/>
    <w:rsid w:val="003C25A8"/>
    <w:rsid w:val="003C496A"/>
    <w:rsid w:val="003F36CB"/>
    <w:rsid w:val="004300CD"/>
    <w:rsid w:val="00436577"/>
    <w:rsid w:val="00443B2B"/>
    <w:rsid w:val="00462F1D"/>
    <w:rsid w:val="00466E62"/>
    <w:rsid w:val="00467C8F"/>
    <w:rsid w:val="0047301B"/>
    <w:rsid w:val="004A70D5"/>
    <w:rsid w:val="004B3964"/>
    <w:rsid w:val="004C54BE"/>
    <w:rsid w:val="004F25F0"/>
    <w:rsid w:val="004F45AE"/>
    <w:rsid w:val="00544832"/>
    <w:rsid w:val="00554742"/>
    <w:rsid w:val="00557BF1"/>
    <w:rsid w:val="00566B39"/>
    <w:rsid w:val="00571209"/>
    <w:rsid w:val="00582039"/>
    <w:rsid w:val="005B6777"/>
    <w:rsid w:val="005C1DB9"/>
    <w:rsid w:val="005D5BCE"/>
    <w:rsid w:val="005F0073"/>
    <w:rsid w:val="005F72F3"/>
    <w:rsid w:val="00602AF6"/>
    <w:rsid w:val="0062182D"/>
    <w:rsid w:val="00642BD5"/>
    <w:rsid w:val="00666C24"/>
    <w:rsid w:val="00672A2B"/>
    <w:rsid w:val="006A438C"/>
    <w:rsid w:val="006E6E9A"/>
    <w:rsid w:val="00701D70"/>
    <w:rsid w:val="00703974"/>
    <w:rsid w:val="00703CE1"/>
    <w:rsid w:val="00742E30"/>
    <w:rsid w:val="00760166"/>
    <w:rsid w:val="00761361"/>
    <w:rsid w:val="007653F2"/>
    <w:rsid w:val="007737FE"/>
    <w:rsid w:val="00781E5C"/>
    <w:rsid w:val="007B0D31"/>
    <w:rsid w:val="007D1310"/>
    <w:rsid w:val="007D3DBE"/>
    <w:rsid w:val="007E12C5"/>
    <w:rsid w:val="007E72B8"/>
    <w:rsid w:val="008143D9"/>
    <w:rsid w:val="0083503A"/>
    <w:rsid w:val="0084681A"/>
    <w:rsid w:val="0086086C"/>
    <w:rsid w:val="00872F32"/>
    <w:rsid w:val="00875CAF"/>
    <w:rsid w:val="00894E8F"/>
    <w:rsid w:val="008952BD"/>
    <w:rsid w:val="00897AAF"/>
    <w:rsid w:val="008A0983"/>
    <w:rsid w:val="008A1A34"/>
    <w:rsid w:val="008A2FB1"/>
    <w:rsid w:val="008A56CA"/>
    <w:rsid w:val="008C0483"/>
    <w:rsid w:val="008C685E"/>
    <w:rsid w:val="008C6BB8"/>
    <w:rsid w:val="008D5AF5"/>
    <w:rsid w:val="008D64DD"/>
    <w:rsid w:val="008F42A6"/>
    <w:rsid w:val="00900F8B"/>
    <w:rsid w:val="00902446"/>
    <w:rsid w:val="009043B9"/>
    <w:rsid w:val="00906F32"/>
    <w:rsid w:val="009243D5"/>
    <w:rsid w:val="00932B11"/>
    <w:rsid w:val="00933059"/>
    <w:rsid w:val="00977501"/>
    <w:rsid w:val="009A2DA9"/>
    <w:rsid w:val="009A2FBC"/>
    <w:rsid w:val="009C1881"/>
    <w:rsid w:val="009C20FC"/>
    <w:rsid w:val="009E6305"/>
    <w:rsid w:val="009E7E72"/>
    <w:rsid w:val="00A32B97"/>
    <w:rsid w:val="00A418E6"/>
    <w:rsid w:val="00A730F2"/>
    <w:rsid w:val="00A73170"/>
    <w:rsid w:val="00A73B55"/>
    <w:rsid w:val="00A74803"/>
    <w:rsid w:val="00A91890"/>
    <w:rsid w:val="00AA1612"/>
    <w:rsid w:val="00AA30B7"/>
    <w:rsid w:val="00AA7D19"/>
    <w:rsid w:val="00AB5BBF"/>
    <w:rsid w:val="00AC3008"/>
    <w:rsid w:val="00AC740D"/>
    <w:rsid w:val="00AE42A9"/>
    <w:rsid w:val="00AF5592"/>
    <w:rsid w:val="00AF6E1B"/>
    <w:rsid w:val="00B06DE7"/>
    <w:rsid w:val="00B16FE4"/>
    <w:rsid w:val="00B31E9A"/>
    <w:rsid w:val="00B375CF"/>
    <w:rsid w:val="00B51BA4"/>
    <w:rsid w:val="00B80EFD"/>
    <w:rsid w:val="00B8584A"/>
    <w:rsid w:val="00BB1563"/>
    <w:rsid w:val="00BD4E83"/>
    <w:rsid w:val="00BF7826"/>
    <w:rsid w:val="00C10265"/>
    <w:rsid w:val="00C16CF7"/>
    <w:rsid w:val="00C22E61"/>
    <w:rsid w:val="00C32179"/>
    <w:rsid w:val="00C43EA8"/>
    <w:rsid w:val="00C51971"/>
    <w:rsid w:val="00C5275C"/>
    <w:rsid w:val="00C5398A"/>
    <w:rsid w:val="00C629AC"/>
    <w:rsid w:val="00C956DF"/>
    <w:rsid w:val="00CA3D22"/>
    <w:rsid w:val="00CB6DCE"/>
    <w:rsid w:val="00CB6F6F"/>
    <w:rsid w:val="00CE53CE"/>
    <w:rsid w:val="00CF6143"/>
    <w:rsid w:val="00D20B58"/>
    <w:rsid w:val="00D275EE"/>
    <w:rsid w:val="00D41DA0"/>
    <w:rsid w:val="00D62881"/>
    <w:rsid w:val="00D757A5"/>
    <w:rsid w:val="00D800D8"/>
    <w:rsid w:val="00D957EF"/>
    <w:rsid w:val="00D97AA9"/>
    <w:rsid w:val="00DB4C01"/>
    <w:rsid w:val="00DB7FC4"/>
    <w:rsid w:val="00DF0E61"/>
    <w:rsid w:val="00DF27F7"/>
    <w:rsid w:val="00DF346C"/>
    <w:rsid w:val="00DF6596"/>
    <w:rsid w:val="00E34281"/>
    <w:rsid w:val="00E36B95"/>
    <w:rsid w:val="00E379EE"/>
    <w:rsid w:val="00E46238"/>
    <w:rsid w:val="00E50E57"/>
    <w:rsid w:val="00E526E7"/>
    <w:rsid w:val="00E72895"/>
    <w:rsid w:val="00E8619B"/>
    <w:rsid w:val="00ED41BA"/>
    <w:rsid w:val="00EE42AB"/>
    <w:rsid w:val="00EE625D"/>
    <w:rsid w:val="00EF1A76"/>
    <w:rsid w:val="00F021E6"/>
    <w:rsid w:val="00F36ABF"/>
    <w:rsid w:val="00F37EF9"/>
    <w:rsid w:val="00F5538F"/>
    <w:rsid w:val="00F75DF9"/>
    <w:rsid w:val="00FA08FD"/>
    <w:rsid w:val="00FA43B1"/>
    <w:rsid w:val="00FD04A9"/>
    <w:rsid w:val="00FD24F5"/>
    <w:rsid w:val="00FD2A64"/>
    <w:rsid w:val="00FD5A47"/>
    <w:rsid w:val="00FE6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6086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86086C"/>
    <w:pPr>
      <w:ind w:firstLine="360"/>
    </w:pPr>
    <w:rPr>
      <w:i/>
      <w:sz w:val="20"/>
      <w:szCs w:val="20"/>
    </w:rPr>
  </w:style>
  <w:style w:type="paragraph" w:styleId="Textbubliny">
    <w:name w:val="Balloon Text"/>
    <w:basedOn w:val="Normln"/>
    <w:semiHidden/>
    <w:rsid w:val="00C10265"/>
    <w:rPr>
      <w:rFonts w:ascii="Tahoma" w:hAnsi="Tahoma" w:cs="Tahoma"/>
      <w:sz w:val="16"/>
      <w:szCs w:val="16"/>
    </w:rPr>
  </w:style>
  <w:style w:type="paragraph" w:styleId="Normlnweb">
    <w:name w:val="Normal (Web)"/>
    <w:basedOn w:val="Normln"/>
    <w:uiPriority w:val="99"/>
    <w:unhideWhenUsed/>
    <w:rsid w:val="00FA43B1"/>
    <w:pPr>
      <w:spacing w:before="100" w:beforeAutospacing="1" w:after="100" w:afterAutospacing="1"/>
    </w:pPr>
    <w:rPr>
      <w:rFonts w:eastAsia="Calibri"/>
    </w:rPr>
  </w:style>
  <w:style w:type="paragraph" w:customStyle="1" w:styleId="listparagraph">
    <w:name w:val="listparagraph"/>
    <w:basedOn w:val="Normln"/>
    <w:uiPriority w:val="99"/>
    <w:semiHidden/>
    <w:rsid w:val="00FA43B1"/>
    <w:pPr>
      <w:spacing w:before="100" w:beforeAutospacing="1" w:after="100" w:afterAutospacing="1"/>
    </w:pPr>
    <w:rPr>
      <w:rFonts w:eastAsia="Calibri"/>
    </w:rPr>
  </w:style>
  <w:style w:type="character" w:styleId="Siln">
    <w:name w:val="Strong"/>
    <w:uiPriority w:val="22"/>
    <w:qFormat/>
    <w:rsid w:val="00FA43B1"/>
    <w:rPr>
      <w:b/>
      <w:bCs/>
    </w:rPr>
  </w:style>
  <w:style w:type="character" w:styleId="Zvraznn">
    <w:name w:val="Emphasis"/>
    <w:uiPriority w:val="20"/>
    <w:qFormat/>
    <w:rsid w:val="00FA43B1"/>
    <w:rPr>
      <w:i/>
      <w:iCs/>
    </w:rPr>
  </w:style>
  <w:style w:type="character" w:customStyle="1" w:styleId="ZkladntextodsazenChar">
    <w:name w:val="Základní text odsazený Char"/>
    <w:basedOn w:val="Standardnpsmoodstavce"/>
    <w:link w:val="Zkladntextodsazen"/>
    <w:rsid w:val="00E36B95"/>
    <w:rPr>
      <w:i/>
    </w:rPr>
  </w:style>
  <w:style w:type="paragraph" w:styleId="Zhlav">
    <w:name w:val="header"/>
    <w:basedOn w:val="Normln"/>
    <w:link w:val="ZhlavChar"/>
    <w:uiPriority w:val="99"/>
    <w:rsid w:val="00BB1563"/>
    <w:pPr>
      <w:tabs>
        <w:tab w:val="center" w:pos="4536"/>
        <w:tab w:val="right" w:pos="9072"/>
      </w:tabs>
    </w:pPr>
  </w:style>
  <w:style w:type="character" w:customStyle="1" w:styleId="ZhlavChar">
    <w:name w:val="Záhlaví Char"/>
    <w:basedOn w:val="Standardnpsmoodstavce"/>
    <w:link w:val="Zhlav"/>
    <w:uiPriority w:val="99"/>
    <w:rsid w:val="00BB1563"/>
    <w:rPr>
      <w:sz w:val="24"/>
      <w:szCs w:val="24"/>
    </w:rPr>
  </w:style>
  <w:style w:type="paragraph" w:styleId="Zpat">
    <w:name w:val="footer"/>
    <w:basedOn w:val="Normln"/>
    <w:link w:val="ZpatChar"/>
    <w:rsid w:val="00BB1563"/>
    <w:pPr>
      <w:tabs>
        <w:tab w:val="center" w:pos="4536"/>
        <w:tab w:val="right" w:pos="9072"/>
      </w:tabs>
    </w:pPr>
  </w:style>
  <w:style w:type="character" w:customStyle="1" w:styleId="ZpatChar">
    <w:name w:val="Zápatí Char"/>
    <w:basedOn w:val="Standardnpsmoodstavce"/>
    <w:link w:val="Zpat"/>
    <w:rsid w:val="00BB15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6086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86086C"/>
    <w:pPr>
      <w:ind w:firstLine="360"/>
    </w:pPr>
    <w:rPr>
      <w:i/>
      <w:sz w:val="20"/>
      <w:szCs w:val="20"/>
    </w:rPr>
  </w:style>
  <w:style w:type="paragraph" w:styleId="Textbubliny">
    <w:name w:val="Balloon Text"/>
    <w:basedOn w:val="Normln"/>
    <w:semiHidden/>
    <w:rsid w:val="00C10265"/>
    <w:rPr>
      <w:rFonts w:ascii="Tahoma" w:hAnsi="Tahoma" w:cs="Tahoma"/>
      <w:sz w:val="16"/>
      <w:szCs w:val="16"/>
    </w:rPr>
  </w:style>
  <w:style w:type="paragraph" w:styleId="Normlnweb">
    <w:name w:val="Normal (Web)"/>
    <w:basedOn w:val="Normln"/>
    <w:uiPriority w:val="99"/>
    <w:unhideWhenUsed/>
    <w:rsid w:val="00FA43B1"/>
    <w:pPr>
      <w:spacing w:before="100" w:beforeAutospacing="1" w:after="100" w:afterAutospacing="1"/>
    </w:pPr>
    <w:rPr>
      <w:rFonts w:eastAsia="Calibri"/>
    </w:rPr>
  </w:style>
  <w:style w:type="paragraph" w:customStyle="1" w:styleId="listparagraph">
    <w:name w:val="listparagraph"/>
    <w:basedOn w:val="Normln"/>
    <w:uiPriority w:val="99"/>
    <w:semiHidden/>
    <w:rsid w:val="00FA43B1"/>
    <w:pPr>
      <w:spacing w:before="100" w:beforeAutospacing="1" w:after="100" w:afterAutospacing="1"/>
    </w:pPr>
    <w:rPr>
      <w:rFonts w:eastAsia="Calibri"/>
    </w:rPr>
  </w:style>
  <w:style w:type="character" w:styleId="Siln">
    <w:name w:val="Strong"/>
    <w:uiPriority w:val="22"/>
    <w:qFormat/>
    <w:rsid w:val="00FA43B1"/>
    <w:rPr>
      <w:b/>
      <w:bCs/>
    </w:rPr>
  </w:style>
  <w:style w:type="character" w:styleId="Zvraznn">
    <w:name w:val="Emphasis"/>
    <w:uiPriority w:val="20"/>
    <w:qFormat/>
    <w:rsid w:val="00FA43B1"/>
    <w:rPr>
      <w:i/>
      <w:iCs/>
    </w:rPr>
  </w:style>
  <w:style w:type="character" w:customStyle="1" w:styleId="ZkladntextodsazenChar">
    <w:name w:val="Základní text odsazený Char"/>
    <w:basedOn w:val="Standardnpsmoodstavce"/>
    <w:link w:val="Zkladntextodsazen"/>
    <w:rsid w:val="00E36B95"/>
    <w:rPr>
      <w:i/>
    </w:rPr>
  </w:style>
  <w:style w:type="paragraph" w:styleId="Zhlav">
    <w:name w:val="header"/>
    <w:basedOn w:val="Normln"/>
    <w:link w:val="ZhlavChar"/>
    <w:uiPriority w:val="99"/>
    <w:rsid w:val="00BB1563"/>
    <w:pPr>
      <w:tabs>
        <w:tab w:val="center" w:pos="4536"/>
        <w:tab w:val="right" w:pos="9072"/>
      </w:tabs>
    </w:pPr>
  </w:style>
  <w:style w:type="character" w:customStyle="1" w:styleId="ZhlavChar">
    <w:name w:val="Záhlaví Char"/>
    <w:basedOn w:val="Standardnpsmoodstavce"/>
    <w:link w:val="Zhlav"/>
    <w:uiPriority w:val="99"/>
    <w:rsid w:val="00BB1563"/>
    <w:rPr>
      <w:sz w:val="24"/>
      <w:szCs w:val="24"/>
    </w:rPr>
  </w:style>
  <w:style w:type="paragraph" w:styleId="Zpat">
    <w:name w:val="footer"/>
    <w:basedOn w:val="Normln"/>
    <w:link w:val="ZpatChar"/>
    <w:rsid w:val="00BB1563"/>
    <w:pPr>
      <w:tabs>
        <w:tab w:val="center" w:pos="4536"/>
        <w:tab w:val="right" w:pos="9072"/>
      </w:tabs>
    </w:pPr>
  </w:style>
  <w:style w:type="character" w:customStyle="1" w:styleId="ZpatChar">
    <w:name w:val="Zápatí Char"/>
    <w:basedOn w:val="Standardnpsmoodstavce"/>
    <w:link w:val="Zpat"/>
    <w:rsid w:val="00BB1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9190">
      <w:bodyDiv w:val="1"/>
      <w:marLeft w:val="0"/>
      <w:marRight w:val="0"/>
      <w:marTop w:val="0"/>
      <w:marBottom w:val="0"/>
      <w:divBdr>
        <w:top w:val="none" w:sz="0" w:space="0" w:color="auto"/>
        <w:left w:val="none" w:sz="0" w:space="0" w:color="auto"/>
        <w:bottom w:val="none" w:sz="0" w:space="0" w:color="auto"/>
        <w:right w:val="none" w:sz="0" w:space="0" w:color="auto"/>
      </w:divBdr>
    </w:div>
    <w:div w:id="106849652">
      <w:bodyDiv w:val="1"/>
      <w:marLeft w:val="0"/>
      <w:marRight w:val="0"/>
      <w:marTop w:val="0"/>
      <w:marBottom w:val="0"/>
      <w:divBdr>
        <w:top w:val="none" w:sz="0" w:space="0" w:color="auto"/>
        <w:left w:val="none" w:sz="0" w:space="0" w:color="auto"/>
        <w:bottom w:val="none" w:sz="0" w:space="0" w:color="auto"/>
        <w:right w:val="none" w:sz="0" w:space="0" w:color="auto"/>
      </w:divBdr>
    </w:div>
    <w:div w:id="247816169">
      <w:bodyDiv w:val="1"/>
      <w:marLeft w:val="0"/>
      <w:marRight w:val="0"/>
      <w:marTop w:val="0"/>
      <w:marBottom w:val="0"/>
      <w:divBdr>
        <w:top w:val="none" w:sz="0" w:space="0" w:color="auto"/>
        <w:left w:val="none" w:sz="0" w:space="0" w:color="auto"/>
        <w:bottom w:val="none" w:sz="0" w:space="0" w:color="auto"/>
        <w:right w:val="none" w:sz="0" w:space="0" w:color="auto"/>
      </w:divBdr>
    </w:div>
    <w:div w:id="311056791">
      <w:bodyDiv w:val="1"/>
      <w:marLeft w:val="0"/>
      <w:marRight w:val="0"/>
      <w:marTop w:val="0"/>
      <w:marBottom w:val="0"/>
      <w:divBdr>
        <w:top w:val="none" w:sz="0" w:space="0" w:color="auto"/>
        <w:left w:val="none" w:sz="0" w:space="0" w:color="auto"/>
        <w:bottom w:val="none" w:sz="0" w:space="0" w:color="auto"/>
        <w:right w:val="none" w:sz="0" w:space="0" w:color="auto"/>
      </w:divBdr>
    </w:div>
    <w:div w:id="408695616">
      <w:bodyDiv w:val="1"/>
      <w:marLeft w:val="0"/>
      <w:marRight w:val="0"/>
      <w:marTop w:val="0"/>
      <w:marBottom w:val="0"/>
      <w:divBdr>
        <w:top w:val="none" w:sz="0" w:space="0" w:color="auto"/>
        <w:left w:val="none" w:sz="0" w:space="0" w:color="auto"/>
        <w:bottom w:val="none" w:sz="0" w:space="0" w:color="auto"/>
        <w:right w:val="none" w:sz="0" w:space="0" w:color="auto"/>
      </w:divBdr>
    </w:div>
    <w:div w:id="457451034">
      <w:bodyDiv w:val="1"/>
      <w:marLeft w:val="0"/>
      <w:marRight w:val="0"/>
      <w:marTop w:val="0"/>
      <w:marBottom w:val="0"/>
      <w:divBdr>
        <w:top w:val="none" w:sz="0" w:space="0" w:color="auto"/>
        <w:left w:val="none" w:sz="0" w:space="0" w:color="auto"/>
        <w:bottom w:val="none" w:sz="0" w:space="0" w:color="auto"/>
        <w:right w:val="none" w:sz="0" w:space="0" w:color="auto"/>
      </w:divBdr>
    </w:div>
    <w:div w:id="474688880">
      <w:bodyDiv w:val="1"/>
      <w:marLeft w:val="0"/>
      <w:marRight w:val="0"/>
      <w:marTop w:val="0"/>
      <w:marBottom w:val="0"/>
      <w:divBdr>
        <w:top w:val="none" w:sz="0" w:space="0" w:color="auto"/>
        <w:left w:val="none" w:sz="0" w:space="0" w:color="auto"/>
        <w:bottom w:val="none" w:sz="0" w:space="0" w:color="auto"/>
        <w:right w:val="none" w:sz="0" w:space="0" w:color="auto"/>
      </w:divBdr>
    </w:div>
    <w:div w:id="511528975">
      <w:bodyDiv w:val="1"/>
      <w:marLeft w:val="0"/>
      <w:marRight w:val="0"/>
      <w:marTop w:val="0"/>
      <w:marBottom w:val="0"/>
      <w:divBdr>
        <w:top w:val="none" w:sz="0" w:space="0" w:color="auto"/>
        <w:left w:val="none" w:sz="0" w:space="0" w:color="auto"/>
        <w:bottom w:val="none" w:sz="0" w:space="0" w:color="auto"/>
        <w:right w:val="none" w:sz="0" w:space="0" w:color="auto"/>
      </w:divBdr>
    </w:div>
    <w:div w:id="665592021">
      <w:bodyDiv w:val="1"/>
      <w:marLeft w:val="0"/>
      <w:marRight w:val="0"/>
      <w:marTop w:val="0"/>
      <w:marBottom w:val="0"/>
      <w:divBdr>
        <w:top w:val="none" w:sz="0" w:space="0" w:color="auto"/>
        <w:left w:val="none" w:sz="0" w:space="0" w:color="auto"/>
        <w:bottom w:val="none" w:sz="0" w:space="0" w:color="auto"/>
        <w:right w:val="none" w:sz="0" w:space="0" w:color="auto"/>
      </w:divBdr>
    </w:div>
    <w:div w:id="784496107">
      <w:bodyDiv w:val="1"/>
      <w:marLeft w:val="0"/>
      <w:marRight w:val="0"/>
      <w:marTop w:val="0"/>
      <w:marBottom w:val="0"/>
      <w:divBdr>
        <w:top w:val="none" w:sz="0" w:space="0" w:color="auto"/>
        <w:left w:val="none" w:sz="0" w:space="0" w:color="auto"/>
        <w:bottom w:val="none" w:sz="0" w:space="0" w:color="auto"/>
        <w:right w:val="none" w:sz="0" w:space="0" w:color="auto"/>
      </w:divBdr>
    </w:div>
    <w:div w:id="966089355">
      <w:bodyDiv w:val="1"/>
      <w:marLeft w:val="0"/>
      <w:marRight w:val="0"/>
      <w:marTop w:val="0"/>
      <w:marBottom w:val="0"/>
      <w:divBdr>
        <w:top w:val="none" w:sz="0" w:space="0" w:color="auto"/>
        <w:left w:val="none" w:sz="0" w:space="0" w:color="auto"/>
        <w:bottom w:val="none" w:sz="0" w:space="0" w:color="auto"/>
        <w:right w:val="none" w:sz="0" w:space="0" w:color="auto"/>
      </w:divBdr>
    </w:div>
    <w:div w:id="1118259539">
      <w:bodyDiv w:val="1"/>
      <w:marLeft w:val="0"/>
      <w:marRight w:val="0"/>
      <w:marTop w:val="0"/>
      <w:marBottom w:val="0"/>
      <w:divBdr>
        <w:top w:val="none" w:sz="0" w:space="0" w:color="auto"/>
        <w:left w:val="none" w:sz="0" w:space="0" w:color="auto"/>
        <w:bottom w:val="none" w:sz="0" w:space="0" w:color="auto"/>
        <w:right w:val="none" w:sz="0" w:space="0" w:color="auto"/>
      </w:divBdr>
    </w:div>
    <w:div w:id="1125470119">
      <w:bodyDiv w:val="1"/>
      <w:marLeft w:val="0"/>
      <w:marRight w:val="0"/>
      <w:marTop w:val="0"/>
      <w:marBottom w:val="0"/>
      <w:divBdr>
        <w:top w:val="none" w:sz="0" w:space="0" w:color="auto"/>
        <w:left w:val="none" w:sz="0" w:space="0" w:color="auto"/>
        <w:bottom w:val="none" w:sz="0" w:space="0" w:color="auto"/>
        <w:right w:val="none" w:sz="0" w:space="0" w:color="auto"/>
      </w:divBdr>
    </w:div>
    <w:div w:id="1157571442">
      <w:bodyDiv w:val="1"/>
      <w:marLeft w:val="0"/>
      <w:marRight w:val="0"/>
      <w:marTop w:val="0"/>
      <w:marBottom w:val="0"/>
      <w:divBdr>
        <w:top w:val="none" w:sz="0" w:space="0" w:color="auto"/>
        <w:left w:val="none" w:sz="0" w:space="0" w:color="auto"/>
        <w:bottom w:val="none" w:sz="0" w:space="0" w:color="auto"/>
        <w:right w:val="none" w:sz="0" w:space="0" w:color="auto"/>
      </w:divBdr>
    </w:div>
    <w:div w:id="1197767932">
      <w:bodyDiv w:val="1"/>
      <w:marLeft w:val="0"/>
      <w:marRight w:val="0"/>
      <w:marTop w:val="0"/>
      <w:marBottom w:val="0"/>
      <w:divBdr>
        <w:top w:val="none" w:sz="0" w:space="0" w:color="auto"/>
        <w:left w:val="none" w:sz="0" w:space="0" w:color="auto"/>
        <w:bottom w:val="none" w:sz="0" w:space="0" w:color="auto"/>
        <w:right w:val="none" w:sz="0" w:space="0" w:color="auto"/>
      </w:divBdr>
    </w:div>
    <w:div w:id="1207986176">
      <w:bodyDiv w:val="1"/>
      <w:marLeft w:val="0"/>
      <w:marRight w:val="0"/>
      <w:marTop w:val="0"/>
      <w:marBottom w:val="0"/>
      <w:divBdr>
        <w:top w:val="none" w:sz="0" w:space="0" w:color="auto"/>
        <w:left w:val="none" w:sz="0" w:space="0" w:color="auto"/>
        <w:bottom w:val="none" w:sz="0" w:space="0" w:color="auto"/>
        <w:right w:val="none" w:sz="0" w:space="0" w:color="auto"/>
      </w:divBdr>
    </w:div>
    <w:div w:id="1208034558">
      <w:bodyDiv w:val="1"/>
      <w:marLeft w:val="0"/>
      <w:marRight w:val="0"/>
      <w:marTop w:val="0"/>
      <w:marBottom w:val="0"/>
      <w:divBdr>
        <w:top w:val="none" w:sz="0" w:space="0" w:color="auto"/>
        <w:left w:val="none" w:sz="0" w:space="0" w:color="auto"/>
        <w:bottom w:val="none" w:sz="0" w:space="0" w:color="auto"/>
        <w:right w:val="none" w:sz="0" w:space="0" w:color="auto"/>
      </w:divBdr>
    </w:div>
    <w:div w:id="1232423063">
      <w:bodyDiv w:val="1"/>
      <w:marLeft w:val="0"/>
      <w:marRight w:val="0"/>
      <w:marTop w:val="0"/>
      <w:marBottom w:val="0"/>
      <w:divBdr>
        <w:top w:val="none" w:sz="0" w:space="0" w:color="auto"/>
        <w:left w:val="none" w:sz="0" w:space="0" w:color="auto"/>
        <w:bottom w:val="none" w:sz="0" w:space="0" w:color="auto"/>
        <w:right w:val="none" w:sz="0" w:space="0" w:color="auto"/>
      </w:divBdr>
    </w:div>
    <w:div w:id="1382174359">
      <w:bodyDiv w:val="1"/>
      <w:marLeft w:val="0"/>
      <w:marRight w:val="0"/>
      <w:marTop w:val="0"/>
      <w:marBottom w:val="0"/>
      <w:divBdr>
        <w:top w:val="none" w:sz="0" w:space="0" w:color="auto"/>
        <w:left w:val="none" w:sz="0" w:space="0" w:color="auto"/>
        <w:bottom w:val="none" w:sz="0" w:space="0" w:color="auto"/>
        <w:right w:val="none" w:sz="0" w:space="0" w:color="auto"/>
      </w:divBdr>
    </w:div>
    <w:div w:id="1421751814">
      <w:bodyDiv w:val="1"/>
      <w:marLeft w:val="0"/>
      <w:marRight w:val="0"/>
      <w:marTop w:val="0"/>
      <w:marBottom w:val="0"/>
      <w:divBdr>
        <w:top w:val="none" w:sz="0" w:space="0" w:color="auto"/>
        <w:left w:val="none" w:sz="0" w:space="0" w:color="auto"/>
        <w:bottom w:val="none" w:sz="0" w:space="0" w:color="auto"/>
        <w:right w:val="none" w:sz="0" w:space="0" w:color="auto"/>
      </w:divBdr>
    </w:div>
    <w:div w:id="1432625425">
      <w:bodyDiv w:val="1"/>
      <w:marLeft w:val="0"/>
      <w:marRight w:val="0"/>
      <w:marTop w:val="0"/>
      <w:marBottom w:val="0"/>
      <w:divBdr>
        <w:top w:val="none" w:sz="0" w:space="0" w:color="auto"/>
        <w:left w:val="none" w:sz="0" w:space="0" w:color="auto"/>
        <w:bottom w:val="none" w:sz="0" w:space="0" w:color="auto"/>
        <w:right w:val="none" w:sz="0" w:space="0" w:color="auto"/>
      </w:divBdr>
    </w:div>
    <w:div w:id="1495337793">
      <w:bodyDiv w:val="1"/>
      <w:marLeft w:val="0"/>
      <w:marRight w:val="0"/>
      <w:marTop w:val="0"/>
      <w:marBottom w:val="0"/>
      <w:divBdr>
        <w:top w:val="none" w:sz="0" w:space="0" w:color="auto"/>
        <w:left w:val="none" w:sz="0" w:space="0" w:color="auto"/>
        <w:bottom w:val="none" w:sz="0" w:space="0" w:color="auto"/>
        <w:right w:val="none" w:sz="0" w:space="0" w:color="auto"/>
      </w:divBdr>
    </w:div>
    <w:div w:id="1529685681">
      <w:bodyDiv w:val="1"/>
      <w:marLeft w:val="0"/>
      <w:marRight w:val="0"/>
      <w:marTop w:val="0"/>
      <w:marBottom w:val="0"/>
      <w:divBdr>
        <w:top w:val="none" w:sz="0" w:space="0" w:color="auto"/>
        <w:left w:val="none" w:sz="0" w:space="0" w:color="auto"/>
        <w:bottom w:val="none" w:sz="0" w:space="0" w:color="auto"/>
        <w:right w:val="none" w:sz="0" w:space="0" w:color="auto"/>
      </w:divBdr>
    </w:div>
    <w:div w:id="1551726924">
      <w:bodyDiv w:val="1"/>
      <w:marLeft w:val="0"/>
      <w:marRight w:val="0"/>
      <w:marTop w:val="0"/>
      <w:marBottom w:val="0"/>
      <w:divBdr>
        <w:top w:val="none" w:sz="0" w:space="0" w:color="auto"/>
        <w:left w:val="none" w:sz="0" w:space="0" w:color="auto"/>
        <w:bottom w:val="none" w:sz="0" w:space="0" w:color="auto"/>
        <w:right w:val="none" w:sz="0" w:space="0" w:color="auto"/>
      </w:divBdr>
    </w:div>
    <w:div w:id="1746223755">
      <w:bodyDiv w:val="1"/>
      <w:marLeft w:val="0"/>
      <w:marRight w:val="0"/>
      <w:marTop w:val="0"/>
      <w:marBottom w:val="0"/>
      <w:divBdr>
        <w:top w:val="none" w:sz="0" w:space="0" w:color="auto"/>
        <w:left w:val="none" w:sz="0" w:space="0" w:color="auto"/>
        <w:bottom w:val="none" w:sz="0" w:space="0" w:color="auto"/>
        <w:right w:val="none" w:sz="0" w:space="0" w:color="auto"/>
      </w:divBdr>
    </w:div>
    <w:div w:id="1950815743">
      <w:bodyDiv w:val="1"/>
      <w:marLeft w:val="0"/>
      <w:marRight w:val="0"/>
      <w:marTop w:val="0"/>
      <w:marBottom w:val="0"/>
      <w:divBdr>
        <w:top w:val="none" w:sz="0" w:space="0" w:color="auto"/>
        <w:left w:val="none" w:sz="0" w:space="0" w:color="auto"/>
        <w:bottom w:val="none" w:sz="0" w:space="0" w:color="auto"/>
        <w:right w:val="none" w:sz="0" w:space="0" w:color="auto"/>
      </w:divBdr>
    </w:div>
    <w:div w:id="1988969365">
      <w:bodyDiv w:val="1"/>
      <w:marLeft w:val="0"/>
      <w:marRight w:val="0"/>
      <w:marTop w:val="0"/>
      <w:marBottom w:val="0"/>
      <w:divBdr>
        <w:top w:val="none" w:sz="0" w:space="0" w:color="auto"/>
        <w:left w:val="none" w:sz="0" w:space="0" w:color="auto"/>
        <w:bottom w:val="none" w:sz="0" w:space="0" w:color="auto"/>
        <w:right w:val="none" w:sz="0" w:space="0" w:color="auto"/>
      </w:divBdr>
    </w:div>
    <w:div w:id="2002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yn&#269;lov&#225;\Documents\Rozbor%20p&#345;&#237;jm&#367;%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yn&#269;lov&#225;\Documents\Rok%202019\Rozpo&#269;et%202019\Rozbor%20p&#345;&#237;jm&#367;%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yn&#269;lov&#225;\Documents\Rok%202019\Rozpo&#269;et%202019\Rozbor%20p&#345;&#237;jm&#367;%202019.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yn&#269;lov&#225;\Documents\Rok%202018\Finance\Pln&#283;n&#237;%20da&#328;ov&#253;ch%20p&#345;&#237;jm&#367;%202015,2016,2017,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yn&#269;lov&#225;\Documents\Rok%202018\Finance\Pln&#283;n&#237;%20da&#328;ov&#253;ch%20p&#345;&#237;jm&#367;%202015,2016,2017,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yn&#269;lov&#225;\Documents\Rok%202018\Finance\Pln&#283;n&#237;%20da&#328;ov&#253;ch%20p&#345;&#237;jm&#367;%202015,2016,2017,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yn&#269;lov&#225;\Documents\Rok%202018\Finance\Pln&#283;n&#237;%20da&#328;ov&#253;ch%20p&#345;&#237;jm&#367;%202015,2016,2017,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0" b="1" i="0" u="none" strike="noStrike" baseline="0">
                <a:solidFill>
                  <a:srgbClr val="000000"/>
                </a:solidFill>
                <a:latin typeface="Arial CE"/>
                <a:ea typeface="Arial CE"/>
                <a:cs typeface="Arial CE"/>
              </a:defRPr>
            </a:pPr>
            <a:r>
              <a:rPr lang="cs-CZ"/>
              <a:t>Příjmy ze sdílených a výlučných daní 
 v letech 2004 - 2019</a:t>
            </a:r>
          </a:p>
        </c:rich>
      </c:tx>
      <c:layout>
        <c:manualLayout>
          <c:xMode val="edge"/>
          <c:yMode val="edge"/>
          <c:x val="0.2302262612430363"/>
          <c:y val="1.5384574390130168E-2"/>
        </c:manualLayout>
      </c:layout>
      <c:overlay val="0"/>
      <c:spPr>
        <a:noFill/>
        <a:ln w="25400">
          <a:noFill/>
        </a:ln>
      </c:spPr>
    </c:title>
    <c:autoTitleDeleted val="0"/>
    <c:plotArea>
      <c:layout>
        <c:manualLayout>
          <c:layoutTarget val="inner"/>
          <c:xMode val="edge"/>
          <c:yMode val="edge"/>
          <c:x val="8.8522676324642183E-2"/>
          <c:y val="0.13987974767694375"/>
          <c:w val="0.87853228522836835"/>
          <c:h val="0.75042860314603888"/>
        </c:manualLayout>
      </c:layout>
      <c:lineChart>
        <c:grouping val="stacked"/>
        <c:varyColors val="0"/>
        <c:ser>
          <c:idx val="0"/>
          <c:order val="0"/>
          <c:tx>
            <c:strRef>
              <c:f>'příjem z daní'!$AA$35</c:f>
              <c:strCache>
                <c:ptCount val="1"/>
              </c:strCache>
            </c:strRef>
          </c:tx>
          <c:spPr>
            <a:ln w="12700">
              <a:solidFill>
                <a:srgbClr val="000080"/>
              </a:solidFill>
              <a:prstDash val="solid"/>
            </a:ln>
          </c:spPr>
          <c:marker>
            <c:symbol val="triangle"/>
            <c:size val="5"/>
            <c:spPr>
              <a:solidFill>
                <a:srgbClr val="000080"/>
              </a:solidFill>
              <a:ln>
                <a:solidFill>
                  <a:srgbClr val="000080"/>
                </a:solidFill>
                <a:prstDash val="solid"/>
              </a:ln>
            </c:spPr>
          </c:marker>
          <c:dLbls>
            <c:dLbl>
              <c:idx val="0"/>
              <c:layout>
                <c:manualLayout>
                  <c:x val="-3.6817333816335659E-2"/>
                  <c:y val="-5.708028745028064E-2"/>
                </c:manualLayout>
              </c:layout>
              <c:dLblPos val="r"/>
              <c:showLegendKey val="0"/>
              <c:showVal val="1"/>
              <c:showCatName val="0"/>
              <c:showSerName val="0"/>
              <c:showPercent val="0"/>
              <c:showBubbleSize val="0"/>
            </c:dLbl>
            <c:dLbl>
              <c:idx val="1"/>
              <c:layout>
                <c:manualLayout>
                  <c:x val="-3.0864758505977266E-2"/>
                  <c:y val="-3.4414733691283513E-2"/>
                </c:manualLayout>
              </c:layout>
              <c:dLblPos val="r"/>
              <c:showLegendKey val="0"/>
              <c:showVal val="1"/>
              <c:showCatName val="0"/>
              <c:showSerName val="0"/>
              <c:showPercent val="0"/>
              <c:showBubbleSize val="0"/>
            </c:dLbl>
            <c:dLbl>
              <c:idx val="2"/>
              <c:layout>
                <c:manualLayout>
                  <c:x val="-3.8135589770230634E-2"/>
                  <c:y val="-6.1524367568458568E-2"/>
                </c:manualLayout>
              </c:layout>
              <c:dLblPos val="r"/>
              <c:showLegendKey val="0"/>
              <c:showVal val="1"/>
              <c:showCatName val="0"/>
              <c:showSerName val="0"/>
              <c:showPercent val="0"/>
              <c:showBubbleSize val="0"/>
            </c:dLbl>
            <c:dLbl>
              <c:idx val="3"/>
              <c:layout>
                <c:manualLayout>
                  <c:x val="-4.3032032063185746E-2"/>
                  <c:y val="-4.1178659774127137E-2"/>
                </c:manualLayout>
              </c:layout>
              <c:dLblPos val="r"/>
              <c:showLegendKey val="0"/>
              <c:showVal val="1"/>
              <c:showCatName val="0"/>
              <c:showSerName val="0"/>
              <c:showPercent val="0"/>
              <c:showBubbleSize val="0"/>
            </c:dLbl>
            <c:dLbl>
              <c:idx val="4"/>
              <c:layout>
                <c:manualLayout>
                  <c:x val="-4.4379709453314382E-2"/>
                  <c:y val="-3.5740304035599614E-2"/>
                </c:manualLayout>
              </c:layout>
              <c:dLblPos val="r"/>
              <c:showLegendKey val="0"/>
              <c:showVal val="1"/>
              <c:showCatName val="0"/>
              <c:showSerName val="0"/>
              <c:showPercent val="0"/>
              <c:showBubbleSize val="0"/>
            </c:dLbl>
            <c:dLbl>
              <c:idx val="5"/>
              <c:layout>
                <c:manualLayout>
                  <c:x val="-4.1525479171081271E-2"/>
                  <c:y val="-5.8435081709420543E-2"/>
                </c:manualLayout>
              </c:layout>
              <c:dLblPos val="r"/>
              <c:showLegendKey val="0"/>
              <c:showVal val="1"/>
              <c:showCatName val="0"/>
              <c:showSerName val="0"/>
              <c:showPercent val="0"/>
              <c:showBubbleSize val="0"/>
            </c:dLbl>
            <c:dLbl>
              <c:idx val="6"/>
              <c:layout>
                <c:manualLayout>
                  <c:x val="-2.2539642145115522E-2"/>
                  <c:y val="-3.7892186553603782E-2"/>
                </c:manualLayout>
              </c:layout>
              <c:dLblPos val="r"/>
              <c:showLegendKey val="0"/>
              <c:showVal val="1"/>
              <c:showCatName val="0"/>
              <c:showSerName val="0"/>
              <c:showPercent val="0"/>
              <c:showBubbleSize val="0"/>
            </c:dLbl>
            <c:dLbl>
              <c:idx val="7"/>
              <c:layout>
                <c:manualLayout>
                  <c:x val="-4.3783371518989964E-2"/>
                  <c:y val="3.0672910726684492E-2"/>
                </c:manualLayout>
              </c:layout>
              <c:dLblPos val="r"/>
              <c:showLegendKey val="0"/>
              <c:showVal val="1"/>
              <c:showCatName val="0"/>
              <c:showSerName val="0"/>
              <c:showPercent val="0"/>
              <c:showBubbleSize val="0"/>
            </c:dLbl>
            <c:dLbl>
              <c:idx val="8"/>
              <c:layout>
                <c:manualLayout>
                  <c:x val="-4.8084681114465372E-2"/>
                  <c:y val="-5.0346092525236377E-2"/>
                </c:manualLayout>
              </c:layout>
              <c:dLblPos val="r"/>
              <c:showLegendKey val="0"/>
              <c:showVal val="1"/>
              <c:showCatName val="0"/>
              <c:showSerName val="0"/>
              <c:showPercent val="0"/>
              <c:showBubbleSize val="0"/>
            </c:dLbl>
            <c:dLbl>
              <c:idx val="9"/>
              <c:layout>
                <c:manualLayout>
                  <c:x val="-3.8512201785053546E-2"/>
                  <c:y val="-2.5673465943660514E-2"/>
                </c:manualLayout>
              </c:layout>
              <c:dLblPos val="r"/>
              <c:showLegendKey val="0"/>
              <c:showVal val="1"/>
              <c:showCatName val="0"/>
              <c:showSerName val="0"/>
              <c:showPercent val="0"/>
              <c:showBubbleSize val="0"/>
            </c:dLbl>
            <c:dLbl>
              <c:idx val="10"/>
              <c:layout>
                <c:manualLayout>
                  <c:x val="-5.3949007362222016E-2"/>
                  <c:y val="-2.1532790634673202E-2"/>
                </c:manualLayout>
              </c:layout>
              <c:dLblPos val="r"/>
              <c:showLegendKey val="0"/>
              <c:showVal val="1"/>
              <c:showCatName val="0"/>
              <c:showSerName val="0"/>
              <c:showPercent val="0"/>
              <c:showBubbleSize val="0"/>
            </c:dLbl>
            <c:dLbl>
              <c:idx val="11"/>
              <c:layout>
                <c:manualLayout>
                  <c:x val="-2.9179295663811094E-2"/>
                  <c:y val="-3.3241839141589478E-2"/>
                </c:manualLayout>
              </c:layout>
              <c:dLblPos val="r"/>
              <c:showLegendKey val="0"/>
              <c:showVal val="1"/>
              <c:showCatName val="0"/>
              <c:showSerName val="0"/>
              <c:showPercent val="0"/>
              <c:showBubbleSize val="0"/>
            </c:dLbl>
            <c:dLbl>
              <c:idx val="12"/>
              <c:layout>
                <c:manualLayout>
                  <c:x val="-4.8690810881841351E-2"/>
                  <c:y val="-4.5265154038486306E-2"/>
                </c:manualLayout>
              </c:layout>
              <c:dLblPos val="r"/>
              <c:showLegendKey val="0"/>
              <c:showVal val="1"/>
              <c:showCatName val="0"/>
              <c:showSerName val="0"/>
              <c:showPercent val="0"/>
              <c:showBubbleSize val="0"/>
            </c:dLbl>
            <c:dLbl>
              <c:idx val="13"/>
              <c:layout>
                <c:manualLayout>
                  <c:x val="-4.8210934313394849E-2"/>
                  <c:y val="-4.8508175055281891E-2"/>
                </c:manualLayout>
              </c:layout>
              <c:dLblPos val="r"/>
              <c:showLegendKey val="0"/>
              <c:showVal val="1"/>
              <c:showCatName val="0"/>
              <c:showSerName val="0"/>
              <c:showPercent val="0"/>
              <c:showBubbleSize val="0"/>
            </c:dLbl>
            <c:dLbl>
              <c:idx val="14"/>
              <c:layout>
                <c:manualLayout>
                  <c:x val="-6.3944845657755933E-2"/>
                  <c:y val="-3.7896519970650945E-2"/>
                </c:manualLayout>
              </c:layout>
              <c:spPr>
                <a:solidFill>
                  <a:srgbClr val="FFFFFF"/>
                </a:solidFill>
                <a:ln w="3175">
                  <a:solidFill>
                    <a:srgbClr val="000000"/>
                  </a:solidFill>
                  <a:prstDash val="solid"/>
                </a:ln>
                <a:effectLst>
                  <a:outerShdw dist="35921" dir="2700000" algn="br">
                    <a:srgbClr val="000000"/>
                  </a:outerShdw>
                </a:effectLst>
              </c:spPr>
              <c:txPr>
                <a:bodyPr/>
                <a:lstStyle/>
                <a:p>
                  <a:pPr algn="ctr" rtl="0">
                    <a:defRPr lang="en-US" sz="900" b="1" i="0" u="none" strike="noStrike" kern="1200"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5"/>
              <c:layout>
                <c:manualLayout>
                  <c:x val="-2.7970495782888929E-2"/>
                  <c:y val="-3.4188061517691E-2"/>
                </c:manualLayout>
              </c:layout>
              <c:spPr>
                <a:solidFill>
                  <a:srgbClr val="FFFF00"/>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6"/>
              <c:layout>
                <c:manualLayout>
                  <c:x val="-1.8106995884773661E-2"/>
                  <c:y val="3.6467236467236465E-2"/>
                </c:manualLayout>
              </c:layout>
              <c:dLblPos val="r"/>
              <c:showLegendKey val="0"/>
              <c:showVal val="1"/>
              <c:showCatName val="0"/>
              <c:showSerName val="0"/>
              <c:showPercent val="0"/>
              <c:showBubbleSize val="0"/>
            </c:dLbl>
            <c:spPr>
              <a:solidFill>
                <a:srgbClr val="FFFFFF"/>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showLegendKey val="0"/>
            <c:showVal val="1"/>
            <c:showCatName val="0"/>
            <c:showSerName val="0"/>
            <c:showPercent val="0"/>
            <c:showBubbleSize val="0"/>
            <c:showLeaderLines val="0"/>
          </c:dLbls>
          <c:cat>
            <c:strRef>
              <c:f>'příjem z daní'!$C$3:$T$3</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R 2019</c:v>
                </c:pt>
              </c:strCache>
            </c:strRef>
          </c:cat>
          <c:val>
            <c:numRef>
              <c:f>'příjem z daní'!$C$10:$T$10</c:f>
              <c:numCache>
                <c:formatCode>#,##0</c:formatCode>
                <c:ptCount val="16"/>
                <c:pt idx="0">
                  <c:v>38484</c:v>
                </c:pt>
                <c:pt idx="1">
                  <c:v>42398.241999999998</c:v>
                </c:pt>
                <c:pt idx="2">
                  <c:v>41832</c:v>
                </c:pt>
                <c:pt idx="3">
                  <c:v>44396.766989999996</c:v>
                </c:pt>
                <c:pt idx="4">
                  <c:v>49218</c:v>
                </c:pt>
                <c:pt idx="5">
                  <c:v>40252</c:v>
                </c:pt>
                <c:pt idx="6">
                  <c:v>42974</c:v>
                </c:pt>
                <c:pt idx="7">
                  <c:v>42809</c:v>
                </c:pt>
                <c:pt idx="8">
                  <c:v>43330.958019999998</c:v>
                </c:pt>
                <c:pt idx="9">
                  <c:v>56592</c:v>
                </c:pt>
                <c:pt idx="10">
                  <c:v>61084</c:v>
                </c:pt>
                <c:pt idx="11">
                  <c:v>61439</c:v>
                </c:pt>
                <c:pt idx="12">
                  <c:v>66132</c:v>
                </c:pt>
                <c:pt idx="13">
                  <c:v>70933</c:v>
                </c:pt>
                <c:pt idx="14">
                  <c:v>79178</c:v>
                </c:pt>
                <c:pt idx="15">
                  <c:v>80100</c:v>
                </c:pt>
              </c:numCache>
            </c:numRef>
          </c:val>
          <c:smooth val="0"/>
        </c:ser>
        <c:dLbls>
          <c:showLegendKey val="0"/>
          <c:showVal val="0"/>
          <c:showCatName val="0"/>
          <c:showSerName val="0"/>
          <c:showPercent val="0"/>
          <c:showBubbleSize val="0"/>
        </c:dLbls>
        <c:marker val="1"/>
        <c:smooth val="0"/>
        <c:axId val="138224000"/>
        <c:axId val="138225920"/>
      </c:lineChart>
      <c:catAx>
        <c:axId val="138224000"/>
        <c:scaling>
          <c:orientation val="minMax"/>
        </c:scaling>
        <c:delete val="0"/>
        <c:axPos val="b"/>
        <c:title>
          <c:tx>
            <c:rich>
              <a:bodyPr/>
              <a:lstStyle/>
              <a:p>
                <a:pPr>
                  <a:defRPr sz="1450" b="1" i="0" u="none" strike="noStrike" baseline="0">
                    <a:solidFill>
                      <a:srgbClr val="000000"/>
                    </a:solidFill>
                    <a:latin typeface="Arial CE"/>
                    <a:ea typeface="Arial CE"/>
                    <a:cs typeface="Arial CE"/>
                  </a:defRPr>
                </a:pPr>
                <a:r>
                  <a:rPr lang="cs-CZ"/>
                  <a:t>rok</a:t>
                </a:r>
              </a:p>
            </c:rich>
          </c:tx>
          <c:layout>
            <c:manualLayout>
              <c:xMode val="edge"/>
              <c:yMode val="edge"/>
              <c:x val="0.51271261052842709"/>
              <c:y val="0.93675366721291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38225920"/>
        <c:crosses val="autoZero"/>
        <c:auto val="1"/>
        <c:lblAlgn val="ctr"/>
        <c:lblOffset val="100"/>
        <c:tickLblSkip val="1"/>
        <c:tickMarkSkip val="1"/>
        <c:noMultiLvlLbl val="0"/>
      </c:catAx>
      <c:valAx>
        <c:axId val="138225920"/>
        <c:scaling>
          <c:orientation val="minMax"/>
          <c:max val="85000"/>
          <c:min val="30000"/>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CE"/>
                    <a:ea typeface="Arial CE"/>
                    <a:cs typeface="Arial CE"/>
                  </a:defRPr>
                </a:pPr>
                <a:r>
                  <a:rPr lang="cs-CZ" sz="900"/>
                  <a:t>tis. Kč</a:t>
                </a:r>
              </a:p>
            </c:rich>
          </c:tx>
          <c:layout>
            <c:manualLayout>
              <c:xMode val="edge"/>
              <c:yMode val="edge"/>
              <c:x val="5.5837249592812756E-2"/>
              <c:y val="4.3499384911911389E-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38224000"/>
        <c:crosses val="autoZero"/>
        <c:crossBetween val="between"/>
        <c:majorUnit val="5000"/>
        <c:minorUnit val="400"/>
      </c:valAx>
      <c:spPr>
        <a:solidFill>
          <a:srgbClr val="CCFFCC"/>
        </a:solidFill>
        <a:ln w="3175">
          <a:solidFill>
            <a:srgbClr val="000000"/>
          </a:solidFill>
          <a:prstDash val="solid"/>
        </a:ln>
      </c:spPr>
    </c:plotArea>
    <c:plotVisOnly val="1"/>
    <c:dispBlanksAs val="zero"/>
    <c:showDLblsOverMax val="0"/>
  </c:chart>
  <c:spPr>
    <a:solidFill>
      <a:srgbClr val="CCFFFF"/>
    </a:solidFill>
    <a:ln w="3175">
      <a:solidFill>
        <a:srgbClr val="000000"/>
      </a:solidFill>
      <a:prstDash val="solid"/>
    </a:ln>
    <a:effectLst>
      <a:outerShdw dist="35921" dir="2700000" algn="br">
        <a:srgbClr val="000000"/>
      </a:outerShdw>
    </a:effectLst>
  </c:spPr>
  <c:txPr>
    <a:bodyPr/>
    <a:lstStyle/>
    <a:p>
      <a:pPr>
        <a:defRPr sz="1450" b="0" i="0" u="none" strike="noStrike" baseline="0">
          <a:solidFill>
            <a:srgbClr val="000000"/>
          </a:solidFill>
          <a:latin typeface="Arial CE"/>
          <a:ea typeface="Arial CE"/>
          <a:cs typeface="Arial CE"/>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0" b="1" i="0" u="none" strike="noStrike" baseline="0">
                <a:solidFill>
                  <a:srgbClr val="000000"/>
                </a:solidFill>
                <a:latin typeface="Arial CE"/>
                <a:ea typeface="Arial CE"/>
                <a:cs typeface="Arial CE"/>
              </a:defRPr>
            </a:pPr>
            <a:r>
              <a:rPr lang="en-US"/>
              <a:t>Počet obyvatel</a:t>
            </a:r>
            <a:r>
              <a:rPr lang="cs-CZ"/>
              <a:t> Jilemnice v letech 2004-2019 </a:t>
            </a:r>
            <a:endParaRPr lang="en-US"/>
          </a:p>
        </c:rich>
      </c:tx>
      <c:layout>
        <c:manualLayout>
          <c:xMode val="edge"/>
          <c:yMode val="edge"/>
          <c:x val="0.2302262612430363"/>
          <c:y val="1.5384574390130168E-2"/>
        </c:manualLayout>
      </c:layout>
      <c:overlay val="0"/>
      <c:spPr>
        <a:noFill/>
        <a:ln w="25400">
          <a:noFill/>
        </a:ln>
      </c:spPr>
    </c:title>
    <c:autoTitleDeleted val="0"/>
    <c:plotArea>
      <c:layout>
        <c:manualLayout>
          <c:layoutTarget val="inner"/>
          <c:xMode val="edge"/>
          <c:yMode val="edge"/>
          <c:x val="8.6573368052313623E-2"/>
          <c:y val="0.14488277797762589"/>
          <c:w val="0.87853228522836835"/>
          <c:h val="0.75042860314603888"/>
        </c:manualLayout>
      </c:layout>
      <c:lineChart>
        <c:grouping val="stacked"/>
        <c:varyColors val="0"/>
        <c:ser>
          <c:idx val="0"/>
          <c:order val="0"/>
          <c:tx>
            <c:strRef>
              <c:f>obyvatelé!$AA$30</c:f>
              <c:strCache>
                <c:ptCount val="1"/>
              </c:strCache>
            </c:strRef>
          </c:tx>
          <c:spPr>
            <a:ln w="12700">
              <a:solidFill>
                <a:srgbClr val="000080"/>
              </a:solidFill>
              <a:prstDash val="solid"/>
            </a:ln>
          </c:spPr>
          <c:marker>
            <c:symbol val="triangle"/>
            <c:size val="5"/>
            <c:spPr>
              <a:solidFill>
                <a:srgbClr val="000080"/>
              </a:solidFill>
              <a:ln>
                <a:solidFill>
                  <a:srgbClr val="000080"/>
                </a:solidFill>
                <a:prstDash val="solid"/>
              </a:ln>
            </c:spPr>
          </c:marker>
          <c:dLbls>
            <c:dLbl>
              <c:idx val="0"/>
              <c:layout>
                <c:manualLayout>
                  <c:x val="-3.6817333816335659E-2"/>
                  <c:y val="-5.708028745028064E-2"/>
                </c:manualLayout>
              </c:layout>
              <c:dLblPos val="r"/>
              <c:showLegendKey val="0"/>
              <c:showVal val="1"/>
              <c:showCatName val="0"/>
              <c:showSerName val="0"/>
              <c:showPercent val="0"/>
              <c:showBubbleSize val="0"/>
            </c:dLbl>
            <c:dLbl>
              <c:idx val="1"/>
              <c:layout>
                <c:manualLayout>
                  <c:x val="-3.0864758505977266E-2"/>
                  <c:y val="-3.4414733691283513E-2"/>
                </c:manualLayout>
              </c:layout>
              <c:dLblPos val="r"/>
              <c:showLegendKey val="0"/>
              <c:showVal val="1"/>
              <c:showCatName val="0"/>
              <c:showSerName val="0"/>
              <c:showPercent val="0"/>
              <c:showBubbleSize val="0"/>
            </c:dLbl>
            <c:dLbl>
              <c:idx val="2"/>
              <c:layout>
                <c:manualLayout>
                  <c:x val="-3.8135589770230634E-2"/>
                  <c:y val="-6.1524367568458568E-2"/>
                </c:manualLayout>
              </c:layout>
              <c:dLblPos val="r"/>
              <c:showLegendKey val="0"/>
              <c:showVal val="1"/>
              <c:showCatName val="0"/>
              <c:showSerName val="0"/>
              <c:showPercent val="0"/>
              <c:showBubbleSize val="0"/>
            </c:dLbl>
            <c:dLbl>
              <c:idx val="3"/>
              <c:layout>
                <c:manualLayout>
                  <c:x val="-4.3032032063185746E-2"/>
                  <c:y val="-4.1178659774127137E-2"/>
                </c:manualLayout>
              </c:layout>
              <c:dLblPos val="r"/>
              <c:showLegendKey val="0"/>
              <c:showVal val="1"/>
              <c:showCatName val="0"/>
              <c:showSerName val="0"/>
              <c:showPercent val="0"/>
              <c:showBubbleSize val="0"/>
            </c:dLbl>
            <c:dLbl>
              <c:idx val="4"/>
              <c:layout>
                <c:manualLayout>
                  <c:x val="-4.4379709453314382E-2"/>
                  <c:y val="-3.5740304035599614E-2"/>
                </c:manualLayout>
              </c:layout>
              <c:dLblPos val="r"/>
              <c:showLegendKey val="0"/>
              <c:showVal val="1"/>
              <c:showCatName val="0"/>
              <c:showSerName val="0"/>
              <c:showPercent val="0"/>
              <c:showBubbleSize val="0"/>
            </c:dLbl>
            <c:dLbl>
              <c:idx val="5"/>
              <c:layout>
                <c:manualLayout>
                  <c:x val="-4.1525479171081271E-2"/>
                  <c:y val="-5.8435081709420543E-2"/>
                </c:manualLayout>
              </c:layout>
              <c:dLblPos val="r"/>
              <c:showLegendKey val="0"/>
              <c:showVal val="1"/>
              <c:showCatName val="0"/>
              <c:showSerName val="0"/>
              <c:showPercent val="0"/>
              <c:showBubbleSize val="0"/>
            </c:dLbl>
            <c:dLbl>
              <c:idx val="6"/>
              <c:layout>
                <c:manualLayout>
                  <c:x val="-4.008354686889435E-2"/>
                  <c:y val="-3.7892268542574312E-2"/>
                </c:manualLayout>
              </c:layout>
              <c:dLblPos val="r"/>
              <c:showLegendKey val="0"/>
              <c:showVal val="1"/>
              <c:showCatName val="0"/>
              <c:showSerName val="0"/>
              <c:showPercent val="0"/>
              <c:showBubbleSize val="0"/>
            </c:dLbl>
            <c:dLbl>
              <c:idx val="7"/>
              <c:layout>
                <c:manualLayout>
                  <c:x val="-4.1057241890565206E-2"/>
                  <c:y val="-7.3558785920990591E-2"/>
                </c:manualLayout>
              </c:layout>
              <c:dLblPos val="r"/>
              <c:showLegendKey val="0"/>
              <c:showVal val="1"/>
              <c:showCatName val="0"/>
              <c:showSerName val="0"/>
              <c:showPercent val="0"/>
              <c:showBubbleSize val="0"/>
            </c:dLbl>
            <c:dLbl>
              <c:idx val="8"/>
              <c:layout>
                <c:manualLayout>
                  <c:x val="-4.8084681114465372E-2"/>
                  <c:y val="-5.0346092525236377E-2"/>
                </c:manualLayout>
              </c:layout>
              <c:dLblPos val="r"/>
              <c:showLegendKey val="0"/>
              <c:showVal val="1"/>
              <c:showCatName val="0"/>
              <c:showSerName val="0"/>
              <c:showPercent val="0"/>
              <c:showBubbleSize val="0"/>
            </c:dLbl>
            <c:dLbl>
              <c:idx val="9"/>
              <c:layout>
                <c:manualLayout>
                  <c:x val="-3.8512201785053546E-2"/>
                  <c:y val="-2.5673465943660514E-2"/>
                </c:manualLayout>
              </c:layout>
              <c:dLblPos val="r"/>
              <c:showLegendKey val="0"/>
              <c:showVal val="1"/>
              <c:showCatName val="0"/>
              <c:showSerName val="0"/>
              <c:showPercent val="0"/>
              <c:showBubbleSize val="0"/>
            </c:dLbl>
            <c:dLbl>
              <c:idx val="10"/>
              <c:layout>
                <c:manualLayout>
                  <c:x val="-1.4962627582481862E-2"/>
                  <c:y val="-2.1532749306899489E-2"/>
                </c:manualLayout>
              </c:layout>
              <c:dLblPos val="r"/>
              <c:showLegendKey val="0"/>
              <c:showVal val="1"/>
              <c:showCatName val="0"/>
              <c:showSerName val="0"/>
              <c:showPercent val="0"/>
              <c:showBubbleSize val="0"/>
            </c:dLbl>
            <c:dLbl>
              <c:idx val="11"/>
              <c:layout>
                <c:manualLayout>
                  <c:x val="-4.3824407445252553E-2"/>
                  <c:y val="3.9442313300581018E-2"/>
                </c:manualLayout>
              </c:layout>
              <c:dLblPos val="r"/>
              <c:showLegendKey val="0"/>
              <c:showVal val="1"/>
              <c:showCatName val="0"/>
              <c:showSerName val="0"/>
              <c:showPercent val="0"/>
              <c:showBubbleSize val="0"/>
            </c:dLbl>
            <c:dLbl>
              <c:idx val="12"/>
              <c:layout>
                <c:manualLayout>
                  <c:x val="-4.8690810881841351E-2"/>
                  <c:y val="-4.5265154038486306E-2"/>
                </c:manualLayout>
              </c:layout>
              <c:dLblPos val="r"/>
              <c:showLegendKey val="0"/>
              <c:showVal val="1"/>
              <c:showCatName val="0"/>
              <c:showSerName val="0"/>
              <c:showPercent val="0"/>
              <c:showBubbleSize val="0"/>
            </c:dLbl>
            <c:dLbl>
              <c:idx val="13"/>
              <c:layout>
                <c:manualLayout>
                  <c:x val="-4.8210934313394849E-2"/>
                  <c:y val="-4.8508175055281891E-2"/>
                </c:manualLayout>
              </c:layout>
              <c:dLblPos val="r"/>
              <c:showLegendKey val="0"/>
              <c:showVal val="1"/>
              <c:showCatName val="0"/>
              <c:showSerName val="0"/>
              <c:showPercent val="0"/>
              <c:showBubbleSize val="0"/>
            </c:dLbl>
            <c:dLbl>
              <c:idx val="14"/>
              <c:layout>
                <c:manualLayout>
                  <c:x val="-4.0553013877217915E-2"/>
                  <c:y val="-3.7896354326267589E-2"/>
                </c:manualLayout>
              </c:layout>
              <c:spPr>
                <a:solidFill>
                  <a:srgbClr val="FFFFFF"/>
                </a:solidFill>
                <a:ln w="3175">
                  <a:solidFill>
                    <a:srgbClr val="000000"/>
                  </a:solidFill>
                  <a:prstDash val="solid"/>
                </a:ln>
                <a:effectLst>
                  <a:outerShdw dist="35921" dir="2700000" algn="br">
                    <a:srgbClr val="000000"/>
                  </a:outerShdw>
                </a:effectLst>
              </c:spPr>
              <c:txPr>
                <a:bodyPr/>
                <a:lstStyle/>
                <a:p>
                  <a:pPr algn="ctr" rtl="0">
                    <a:defRPr lang="en-US" sz="900" b="1" i="0" u="none" strike="noStrike" kern="1200"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5"/>
              <c:layout>
                <c:manualLayout>
                  <c:x val="-2.7970495782888929E-2"/>
                  <c:y val="-3.4188061517691E-2"/>
                </c:manualLayout>
              </c:layout>
              <c:spPr>
                <a:solidFill>
                  <a:srgbClr val="FFFF00"/>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6"/>
              <c:layout>
                <c:manualLayout>
                  <c:x val="-1.8106995884773661E-2"/>
                  <c:y val="3.6467236467236465E-2"/>
                </c:manualLayout>
              </c:layout>
              <c:dLblPos val="r"/>
              <c:showLegendKey val="0"/>
              <c:showVal val="1"/>
              <c:showCatName val="0"/>
              <c:showSerName val="0"/>
              <c:showPercent val="0"/>
              <c:showBubbleSize val="0"/>
            </c:dLbl>
            <c:spPr>
              <a:solidFill>
                <a:srgbClr val="FFFFFF"/>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showLegendKey val="0"/>
            <c:showVal val="1"/>
            <c:showCatName val="0"/>
            <c:showSerName val="0"/>
            <c:showPercent val="0"/>
            <c:showBubbleSize val="0"/>
            <c:showLeaderLines val="0"/>
          </c:dLbls>
          <c:cat>
            <c:numRef>
              <c:f>obyvatelé!$F$3:$U$3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obyvatelé!$F$4:$U$4</c:f>
              <c:numCache>
                <c:formatCode>#,##0</c:formatCode>
                <c:ptCount val="16"/>
                <c:pt idx="0">
                  <c:v>5783</c:v>
                </c:pt>
                <c:pt idx="1">
                  <c:v>5774</c:v>
                </c:pt>
                <c:pt idx="2">
                  <c:v>5770</c:v>
                </c:pt>
                <c:pt idx="3">
                  <c:v>5710</c:v>
                </c:pt>
                <c:pt idx="4">
                  <c:v>5731</c:v>
                </c:pt>
                <c:pt idx="5">
                  <c:v>5715</c:v>
                </c:pt>
                <c:pt idx="6">
                  <c:v>5681</c:v>
                </c:pt>
                <c:pt idx="7">
                  <c:v>5685</c:v>
                </c:pt>
                <c:pt idx="8">
                  <c:v>5604</c:v>
                </c:pt>
                <c:pt idx="9">
                  <c:v>5616</c:v>
                </c:pt>
                <c:pt idx="10">
                  <c:v>5596</c:v>
                </c:pt>
                <c:pt idx="11">
                  <c:v>5499</c:v>
                </c:pt>
                <c:pt idx="12">
                  <c:v>5515</c:v>
                </c:pt>
                <c:pt idx="13">
                  <c:v>5470</c:v>
                </c:pt>
                <c:pt idx="14">
                  <c:v>5410</c:v>
                </c:pt>
                <c:pt idx="15">
                  <c:v>5381</c:v>
                </c:pt>
              </c:numCache>
            </c:numRef>
          </c:val>
          <c:smooth val="0"/>
        </c:ser>
        <c:ser>
          <c:idx val="2"/>
          <c:order val="1"/>
          <c:tx>
            <c:strRef>
              <c:f>obyvatelé!$B$5</c:f>
              <c:strCache>
                <c:ptCount val="1"/>
                <c:pt idx="0">
                  <c:v>počet žáků</c:v>
                </c:pt>
              </c:strCache>
            </c:strRef>
          </c:tx>
          <c:cat>
            <c:numRef>
              <c:f>obyvatelé!$F$3:$U$3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obyvatelé!$O$5:$T$5</c:f>
              <c:numCache>
                <c:formatCode>#,##0</c:formatCode>
                <c:ptCount val="6"/>
                <c:pt idx="0">
                  <c:v>953</c:v>
                </c:pt>
                <c:pt idx="1">
                  <c:v>967</c:v>
                </c:pt>
                <c:pt idx="2">
                  <c:v>944</c:v>
                </c:pt>
                <c:pt idx="3">
                  <c:v>933</c:v>
                </c:pt>
                <c:pt idx="4">
                  <c:v>956</c:v>
                </c:pt>
                <c:pt idx="5">
                  <c:v>937</c:v>
                </c:pt>
              </c:numCache>
            </c:numRef>
          </c:val>
          <c:smooth val="0"/>
        </c:ser>
        <c:ser>
          <c:idx val="1"/>
          <c:order val="2"/>
          <c:tx>
            <c:strRef>
              <c:f>obyvatelé!$B$5</c:f>
              <c:strCache>
                <c:ptCount val="1"/>
                <c:pt idx="0">
                  <c:v>počet žáků</c:v>
                </c:pt>
              </c:strCache>
            </c:strRef>
          </c:tx>
          <c:cat>
            <c:numRef>
              <c:f>obyvatelé!$F$3:$U$3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obyvatelé!$O$5:$T$5</c:f>
              <c:numCache>
                <c:formatCode>#,##0</c:formatCode>
                <c:ptCount val="6"/>
                <c:pt idx="0">
                  <c:v>953</c:v>
                </c:pt>
                <c:pt idx="1">
                  <c:v>967</c:v>
                </c:pt>
                <c:pt idx="2">
                  <c:v>944</c:v>
                </c:pt>
                <c:pt idx="3">
                  <c:v>933</c:v>
                </c:pt>
                <c:pt idx="4">
                  <c:v>956</c:v>
                </c:pt>
                <c:pt idx="5">
                  <c:v>937</c:v>
                </c:pt>
              </c:numCache>
            </c:numRef>
          </c:val>
          <c:smooth val="0"/>
        </c:ser>
        <c:dLbls>
          <c:showLegendKey val="0"/>
          <c:showVal val="0"/>
          <c:showCatName val="0"/>
          <c:showSerName val="0"/>
          <c:showPercent val="0"/>
          <c:showBubbleSize val="0"/>
        </c:dLbls>
        <c:marker val="1"/>
        <c:smooth val="0"/>
        <c:axId val="138806400"/>
        <c:axId val="138808320"/>
      </c:lineChart>
      <c:catAx>
        <c:axId val="138806400"/>
        <c:scaling>
          <c:orientation val="minMax"/>
        </c:scaling>
        <c:delete val="0"/>
        <c:axPos val="b"/>
        <c:title>
          <c:tx>
            <c:rich>
              <a:bodyPr/>
              <a:lstStyle/>
              <a:p>
                <a:pPr>
                  <a:defRPr sz="1450" b="1" i="0" u="none" strike="noStrike" baseline="0">
                    <a:solidFill>
                      <a:srgbClr val="000000"/>
                    </a:solidFill>
                    <a:latin typeface="Arial CE"/>
                    <a:ea typeface="Arial CE"/>
                    <a:cs typeface="Arial CE"/>
                  </a:defRPr>
                </a:pPr>
                <a:r>
                  <a:rPr lang="cs-CZ"/>
                  <a:t>rok</a:t>
                </a:r>
              </a:p>
            </c:rich>
          </c:tx>
          <c:layout>
            <c:manualLayout>
              <c:xMode val="edge"/>
              <c:yMode val="edge"/>
              <c:x val="0.51271261052842709"/>
              <c:y val="0.93675366721291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38808320"/>
        <c:crosses val="autoZero"/>
        <c:auto val="1"/>
        <c:lblAlgn val="ctr"/>
        <c:lblOffset val="100"/>
        <c:noMultiLvlLbl val="0"/>
      </c:catAx>
      <c:valAx>
        <c:axId val="138808320"/>
        <c:scaling>
          <c:orientation val="minMax"/>
          <c:max val="5900"/>
          <c:min val="530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38806400"/>
        <c:crosses val="autoZero"/>
        <c:crossBetween val="between"/>
        <c:majorUnit val="100"/>
      </c:valAx>
      <c:spPr>
        <a:solidFill>
          <a:srgbClr val="CCFFCC"/>
        </a:solidFill>
        <a:ln w="3175">
          <a:solidFill>
            <a:srgbClr val="000000"/>
          </a:solidFill>
          <a:prstDash val="solid"/>
        </a:ln>
      </c:spPr>
    </c:plotArea>
    <c:plotVisOnly val="1"/>
    <c:dispBlanksAs val="zero"/>
    <c:showDLblsOverMax val="0"/>
  </c:chart>
  <c:spPr>
    <a:solidFill>
      <a:srgbClr val="CCFFFF"/>
    </a:solidFill>
    <a:ln w="3175">
      <a:solidFill>
        <a:srgbClr val="000000"/>
      </a:solidFill>
      <a:prstDash val="solid"/>
    </a:ln>
    <a:effectLst>
      <a:outerShdw dist="35921" dir="2700000" algn="br">
        <a:srgbClr val="000000"/>
      </a:outerShdw>
    </a:effectLst>
  </c:spPr>
  <c:txPr>
    <a:bodyPr/>
    <a:lstStyle/>
    <a:p>
      <a:pPr>
        <a:defRPr sz="1450" b="0" i="0" u="none" strike="noStrike" baseline="0">
          <a:solidFill>
            <a:srgbClr val="000000"/>
          </a:solidFill>
          <a:latin typeface="Arial CE"/>
          <a:ea typeface="Arial CE"/>
          <a:cs typeface="Arial CE"/>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0" b="1" i="0" u="none" strike="noStrike" baseline="0">
                <a:solidFill>
                  <a:srgbClr val="000000"/>
                </a:solidFill>
                <a:latin typeface="Arial CE"/>
                <a:ea typeface="Arial CE"/>
                <a:cs typeface="Arial CE"/>
              </a:defRPr>
            </a:pPr>
            <a:r>
              <a:rPr lang="en-US"/>
              <a:t>Počet </a:t>
            </a:r>
            <a:r>
              <a:rPr lang="cs-CZ"/>
              <a:t>žáků v letech 2013 - 2019 </a:t>
            </a:r>
            <a:r>
              <a:rPr lang="cs-CZ" sz="1000"/>
              <a:t>(od zařazení parametru do RUD)</a:t>
            </a:r>
            <a:endParaRPr lang="en-US" sz="1000"/>
          </a:p>
        </c:rich>
      </c:tx>
      <c:layout>
        <c:manualLayout>
          <c:xMode val="edge"/>
          <c:yMode val="edge"/>
          <c:x val="0.11905805252604292"/>
          <c:y val="4.3356653967085504E-2"/>
        </c:manualLayout>
      </c:layout>
      <c:overlay val="0"/>
      <c:spPr>
        <a:noFill/>
        <a:ln w="25400">
          <a:noFill/>
        </a:ln>
      </c:spPr>
    </c:title>
    <c:autoTitleDeleted val="0"/>
    <c:plotArea>
      <c:layout>
        <c:manualLayout>
          <c:layoutTarget val="inner"/>
          <c:xMode val="edge"/>
          <c:yMode val="edge"/>
          <c:x val="8.6573368052313623E-2"/>
          <c:y val="0.14488277797762589"/>
          <c:w val="0.87853228522836835"/>
          <c:h val="0.75042860314603888"/>
        </c:manualLayout>
      </c:layout>
      <c:lineChart>
        <c:grouping val="stacked"/>
        <c:varyColors val="0"/>
        <c:ser>
          <c:idx val="0"/>
          <c:order val="0"/>
          <c:tx>
            <c:strRef>
              <c:f>obyvatelé!$B$5</c:f>
              <c:strCache>
                <c:ptCount val="1"/>
                <c:pt idx="0">
                  <c:v>počet žáků</c:v>
                </c:pt>
              </c:strCache>
            </c:strRef>
          </c:tx>
          <c:spPr>
            <a:ln w="12700">
              <a:solidFill>
                <a:srgbClr val="000080"/>
              </a:solidFill>
              <a:prstDash val="solid"/>
            </a:ln>
          </c:spPr>
          <c:marker>
            <c:symbol val="triangle"/>
            <c:size val="5"/>
            <c:spPr>
              <a:solidFill>
                <a:srgbClr val="000080"/>
              </a:solidFill>
              <a:ln>
                <a:solidFill>
                  <a:srgbClr val="000080"/>
                </a:solidFill>
                <a:prstDash val="solid"/>
              </a:ln>
            </c:spPr>
          </c:marker>
          <c:dLbls>
            <c:dLbl>
              <c:idx val="0"/>
              <c:layout>
                <c:manualLayout>
                  <c:x val="-3.6817333816335659E-2"/>
                  <c:y val="-5.708028745028064E-2"/>
                </c:manualLayout>
              </c:layout>
              <c:dLblPos val="r"/>
              <c:showLegendKey val="0"/>
              <c:showVal val="1"/>
              <c:showCatName val="0"/>
              <c:showSerName val="0"/>
              <c:showPercent val="0"/>
              <c:showBubbleSize val="0"/>
            </c:dLbl>
            <c:dLbl>
              <c:idx val="1"/>
              <c:layout>
                <c:manualLayout>
                  <c:x val="-3.0864758505977266E-2"/>
                  <c:y val="-3.4414733691283513E-2"/>
                </c:manualLayout>
              </c:layout>
              <c:dLblPos val="r"/>
              <c:showLegendKey val="0"/>
              <c:showVal val="1"/>
              <c:showCatName val="0"/>
              <c:showSerName val="0"/>
              <c:showPercent val="0"/>
              <c:showBubbleSize val="0"/>
            </c:dLbl>
            <c:dLbl>
              <c:idx val="2"/>
              <c:layout>
                <c:manualLayout>
                  <c:x val="-3.8135589770230634E-2"/>
                  <c:y val="-6.1524367568458568E-2"/>
                </c:manualLayout>
              </c:layout>
              <c:dLblPos val="r"/>
              <c:showLegendKey val="0"/>
              <c:showVal val="1"/>
              <c:showCatName val="0"/>
              <c:showSerName val="0"/>
              <c:showPercent val="0"/>
              <c:showBubbleSize val="0"/>
            </c:dLbl>
            <c:dLbl>
              <c:idx val="3"/>
              <c:layout>
                <c:manualLayout>
                  <c:x val="-4.3032032063185746E-2"/>
                  <c:y val="-4.1178659774127137E-2"/>
                </c:manualLayout>
              </c:layout>
              <c:dLblPos val="r"/>
              <c:showLegendKey val="0"/>
              <c:showVal val="1"/>
              <c:showCatName val="0"/>
              <c:showSerName val="0"/>
              <c:showPercent val="0"/>
              <c:showBubbleSize val="0"/>
            </c:dLbl>
            <c:dLbl>
              <c:idx val="4"/>
              <c:layout>
                <c:manualLayout>
                  <c:x val="-4.4379709453314382E-2"/>
                  <c:y val="-3.5740304035599614E-2"/>
                </c:manualLayout>
              </c:layout>
              <c:dLblPos val="r"/>
              <c:showLegendKey val="0"/>
              <c:showVal val="1"/>
              <c:showCatName val="0"/>
              <c:showSerName val="0"/>
              <c:showPercent val="0"/>
              <c:showBubbleSize val="0"/>
            </c:dLbl>
            <c:dLbl>
              <c:idx val="5"/>
              <c:layout>
                <c:manualLayout>
                  <c:x val="-4.1525479171081271E-2"/>
                  <c:y val="-5.8435081709420543E-2"/>
                </c:manualLayout>
              </c:layout>
              <c:dLblPos val="r"/>
              <c:showLegendKey val="0"/>
              <c:showVal val="1"/>
              <c:showCatName val="0"/>
              <c:showSerName val="0"/>
              <c:showPercent val="0"/>
              <c:showBubbleSize val="0"/>
            </c:dLbl>
            <c:dLbl>
              <c:idx val="6"/>
              <c:layout>
                <c:manualLayout>
                  <c:x val="-4.008354686889435E-2"/>
                  <c:y val="-3.7892268542574312E-2"/>
                </c:manualLayout>
              </c:layout>
              <c:spPr>
                <a:solidFill>
                  <a:srgbClr val="FFFF00"/>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7"/>
              <c:layout>
                <c:manualLayout>
                  <c:x val="-5.9377893968787496E-2"/>
                  <c:y val="-3.9370789311234576E-2"/>
                </c:manualLayout>
              </c:layout>
              <c:dLblPos val="r"/>
              <c:showLegendKey val="0"/>
              <c:showVal val="1"/>
              <c:showCatName val="0"/>
              <c:showSerName val="0"/>
              <c:showPercent val="0"/>
              <c:showBubbleSize val="0"/>
            </c:dLbl>
            <c:dLbl>
              <c:idx val="8"/>
              <c:layout>
                <c:manualLayout>
                  <c:x val="-4.8084681114465372E-2"/>
                  <c:y val="-5.0346092525236377E-2"/>
                </c:manualLayout>
              </c:layout>
              <c:dLblPos val="r"/>
              <c:showLegendKey val="0"/>
              <c:showVal val="1"/>
              <c:showCatName val="0"/>
              <c:showSerName val="0"/>
              <c:showPercent val="0"/>
              <c:showBubbleSize val="0"/>
            </c:dLbl>
            <c:dLbl>
              <c:idx val="9"/>
              <c:layout>
                <c:manualLayout>
                  <c:x val="-3.8512201785053546E-2"/>
                  <c:y val="-2.5673465943660514E-2"/>
                </c:manualLayout>
              </c:layout>
              <c:dLblPos val="r"/>
              <c:showLegendKey val="0"/>
              <c:showVal val="1"/>
              <c:showCatName val="0"/>
              <c:showSerName val="0"/>
              <c:showPercent val="0"/>
              <c:showBubbleSize val="0"/>
            </c:dLbl>
            <c:dLbl>
              <c:idx val="10"/>
              <c:layout>
                <c:manualLayout>
                  <c:x val="-1.4962627582481862E-2"/>
                  <c:y val="-2.1532749306899489E-2"/>
                </c:manualLayout>
              </c:layout>
              <c:dLblPos val="r"/>
              <c:showLegendKey val="0"/>
              <c:showVal val="1"/>
              <c:showCatName val="0"/>
              <c:showSerName val="0"/>
              <c:showPercent val="0"/>
              <c:showBubbleSize val="0"/>
            </c:dLbl>
            <c:dLbl>
              <c:idx val="11"/>
              <c:layout>
                <c:manualLayout>
                  <c:x val="-6.6216288181368627E-2"/>
                  <c:y val="-2.3235674220925429E-2"/>
                </c:manualLayout>
              </c:layout>
              <c:dLblPos val="r"/>
              <c:showLegendKey val="0"/>
              <c:showVal val="1"/>
              <c:showCatName val="0"/>
              <c:showSerName val="0"/>
              <c:showPercent val="0"/>
              <c:showBubbleSize val="0"/>
            </c:dLbl>
            <c:dLbl>
              <c:idx val="12"/>
              <c:layout>
                <c:manualLayout>
                  <c:x val="-4.8690810881841351E-2"/>
                  <c:y val="-4.5265154038486306E-2"/>
                </c:manualLayout>
              </c:layout>
              <c:dLblPos val="r"/>
              <c:showLegendKey val="0"/>
              <c:showVal val="1"/>
              <c:showCatName val="0"/>
              <c:showSerName val="0"/>
              <c:showPercent val="0"/>
              <c:showBubbleSize val="0"/>
            </c:dLbl>
            <c:dLbl>
              <c:idx val="13"/>
              <c:layout>
                <c:manualLayout>
                  <c:x val="-4.8210934313394849E-2"/>
                  <c:y val="-4.8508175055281891E-2"/>
                </c:manualLayout>
              </c:layout>
              <c:dLblPos val="r"/>
              <c:showLegendKey val="0"/>
              <c:showVal val="1"/>
              <c:showCatName val="0"/>
              <c:showSerName val="0"/>
              <c:showPercent val="0"/>
              <c:showBubbleSize val="0"/>
            </c:dLbl>
            <c:dLbl>
              <c:idx val="14"/>
              <c:layout>
                <c:manualLayout>
                  <c:x val="-4.0553013877217915E-2"/>
                  <c:y val="-3.7896354326267589E-2"/>
                </c:manualLayout>
              </c:layout>
              <c:spPr>
                <a:solidFill>
                  <a:srgbClr val="FFFFFF"/>
                </a:solidFill>
                <a:ln w="3175">
                  <a:solidFill>
                    <a:srgbClr val="000000"/>
                  </a:solidFill>
                  <a:prstDash val="solid"/>
                </a:ln>
                <a:effectLst>
                  <a:outerShdw dist="35921" dir="2700000" algn="br">
                    <a:srgbClr val="000000"/>
                  </a:outerShdw>
                </a:effectLst>
              </c:spPr>
              <c:txPr>
                <a:bodyPr/>
                <a:lstStyle/>
                <a:p>
                  <a:pPr algn="ctr" rtl="0">
                    <a:defRPr lang="en-US" sz="900" b="1" i="0" u="none" strike="noStrike" kern="1200"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5"/>
              <c:layout>
                <c:manualLayout>
                  <c:x val="-2.7970495782888929E-2"/>
                  <c:y val="-3.4188061517691E-2"/>
                </c:manualLayout>
              </c:layout>
              <c:spPr>
                <a:solidFill>
                  <a:srgbClr val="FFFF00"/>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dLblPos val="r"/>
              <c:showLegendKey val="0"/>
              <c:showVal val="1"/>
              <c:showCatName val="0"/>
              <c:showSerName val="0"/>
              <c:showPercent val="0"/>
              <c:showBubbleSize val="0"/>
            </c:dLbl>
            <c:dLbl>
              <c:idx val="16"/>
              <c:layout>
                <c:manualLayout>
                  <c:x val="-1.8106995884773661E-2"/>
                  <c:y val="3.6467236467236465E-2"/>
                </c:manualLayout>
              </c:layout>
              <c:dLblPos val="r"/>
              <c:showLegendKey val="0"/>
              <c:showVal val="1"/>
              <c:showCatName val="0"/>
              <c:showSerName val="0"/>
              <c:showPercent val="0"/>
              <c:showBubbleSize val="0"/>
            </c:dLbl>
            <c:spPr>
              <a:solidFill>
                <a:srgbClr val="FFFFFF"/>
              </a:solidFill>
              <a:ln w="3175">
                <a:solidFill>
                  <a:srgbClr val="000000"/>
                </a:solidFill>
                <a:prstDash val="solid"/>
              </a:ln>
              <a:effectLst>
                <a:outerShdw dist="35921" dir="2700000" algn="br">
                  <a:srgbClr val="000000"/>
                </a:outerShdw>
              </a:effectLst>
            </c:spPr>
            <c:txPr>
              <a:bodyPr/>
              <a:lstStyle/>
              <a:p>
                <a:pPr>
                  <a:defRPr sz="900" b="1" i="0" u="none" strike="noStrike" baseline="0">
                    <a:solidFill>
                      <a:srgbClr val="000000"/>
                    </a:solidFill>
                    <a:latin typeface="Arial CE"/>
                    <a:ea typeface="Arial CE"/>
                    <a:cs typeface="Arial CE"/>
                  </a:defRPr>
                </a:pPr>
                <a:endParaRPr lang="cs-CZ"/>
              </a:p>
            </c:txPr>
            <c:showLegendKey val="0"/>
            <c:showVal val="1"/>
            <c:showCatName val="0"/>
            <c:showSerName val="0"/>
            <c:showPercent val="0"/>
            <c:showBubbleSize val="0"/>
            <c:showLeaderLines val="0"/>
          </c:dLbls>
          <c:cat>
            <c:numRef>
              <c:f>obyvatelé!$O$3:$U$3</c:f>
              <c:numCache>
                <c:formatCode>General</c:formatCode>
                <c:ptCount val="7"/>
                <c:pt idx="0">
                  <c:v>2013</c:v>
                </c:pt>
                <c:pt idx="1">
                  <c:v>2014</c:v>
                </c:pt>
                <c:pt idx="2">
                  <c:v>2015</c:v>
                </c:pt>
                <c:pt idx="3">
                  <c:v>2016</c:v>
                </c:pt>
                <c:pt idx="4">
                  <c:v>2017</c:v>
                </c:pt>
                <c:pt idx="5">
                  <c:v>2018</c:v>
                </c:pt>
                <c:pt idx="6">
                  <c:v>2019</c:v>
                </c:pt>
              </c:numCache>
            </c:numRef>
          </c:cat>
          <c:val>
            <c:numRef>
              <c:f>obyvatelé!$O$5:$U$5</c:f>
              <c:numCache>
                <c:formatCode>#,##0</c:formatCode>
                <c:ptCount val="7"/>
                <c:pt idx="0">
                  <c:v>953</c:v>
                </c:pt>
                <c:pt idx="1">
                  <c:v>967</c:v>
                </c:pt>
                <c:pt idx="2">
                  <c:v>944</c:v>
                </c:pt>
                <c:pt idx="3">
                  <c:v>933</c:v>
                </c:pt>
                <c:pt idx="4">
                  <c:v>956</c:v>
                </c:pt>
                <c:pt idx="5">
                  <c:v>937</c:v>
                </c:pt>
                <c:pt idx="6" formatCode="General">
                  <c:v>881</c:v>
                </c:pt>
              </c:numCache>
            </c:numRef>
          </c:val>
          <c:smooth val="0"/>
        </c:ser>
        <c:ser>
          <c:idx val="2"/>
          <c:order val="1"/>
          <c:tx>
            <c:strRef>
              <c:f>obyvatelé!$B$5</c:f>
              <c:strCache>
                <c:ptCount val="1"/>
                <c:pt idx="0">
                  <c:v>počet žáků</c:v>
                </c:pt>
              </c:strCache>
            </c:strRef>
          </c:tx>
          <c:cat>
            <c:numRef>
              <c:f>obyvatelé!$O$3:$U$3</c:f>
              <c:numCache>
                <c:formatCode>General</c:formatCode>
                <c:ptCount val="7"/>
                <c:pt idx="0">
                  <c:v>2013</c:v>
                </c:pt>
                <c:pt idx="1">
                  <c:v>2014</c:v>
                </c:pt>
                <c:pt idx="2">
                  <c:v>2015</c:v>
                </c:pt>
                <c:pt idx="3">
                  <c:v>2016</c:v>
                </c:pt>
                <c:pt idx="4">
                  <c:v>2017</c:v>
                </c:pt>
                <c:pt idx="5">
                  <c:v>2018</c:v>
                </c:pt>
                <c:pt idx="6">
                  <c:v>2019</c:v>
                </c:pt>
              </c:numCache>
            </c:numRef>
          </c:cat>
          <c:val>
            <c:numRef>
              <c:f>obyvatelé!$O$5:$T$5</c:f>
              <c:numCache>
                <c:formatCode>#,##0</c:formatCode>
                <c:ptCount val="6"/>
                <c:pt idx="0">
                  <c:v>953</c:v>
                </c:pt>
                <c:pt idx="1">
                  <c:v>967</c:v>
                </c:pt>
                <c:pt idx="2">
                  <c:v>944</c:v>
                </c:pt>
                <c:pt idx="3">
                  <c:v>933</c:v>
                </c:pt>
                <c:pt idx="4">
                  <c:v>956</c:v>
                </c:pt>
                <c:pt idx="5">
                  <c:v>937</c:v>
                </c:pt>
              </c:numCache>
            </c:numRef>
          </c:val>
          <c:smooth val="0"/>
        </c:ser>
        <c:ser>
          <c:idx val="1"/>
          <c:order val="2"/>
          <c:tx>
            <c:strRef>
              <c:f>obyvatelé!$B$5</c:f>
              <c:strCache>
                <c:ptCount val="1"/>
                <c:pt idx="0">
                  <c:v>počet žáků</c:v>
                </c:pt>
              </c:strCache>
            </c:strRef>
          </c:tx>
          <c:cat>
            <c:numRef>
              <c:f>obyvatelé!$O$3:$U$3</c:f>
              <c:numCache>
                <c:formatCode>General</c:formatCode>
                <c:ptCount val="7"/>
                <c:pt idx="0">
                  <c:v>2013</c:v>
                </c:pt>
                <c:pt idx="1">
                  <c:v>2014</c:v>
                </c:pt>
                <c:pt idx="2">
                  <c:v>2015</c:v>
                </c:pt>
                <c:pt idx="3">
                  <c:v>2016</c:v>
                </c:pt>
                <c:pt idx="4">
                  <c:v>2017</c:v>
                </c:pt>
                <c:pt idx="5">
                  <c:v>2018</c:v>
                </c:pt>
                <c:pt idx="6">
                  <c:v>2019</c:v>
                </c:pt>
              </c:numCache>
            </c:numRef>
          </c:cat>
          <c:val>
            <c:numRef>
              <c:f>obyvatelé!$O$5:$T$5</c:f>
              <c:numCache>
                <c:formatCode>#,##0</c:formatCode>
                <c:ptCount val="6"/>
                <c:pt idx="0">
                  <c:v>953</c:v>
                </c:pt>
                <c:pt idx="1">
                  <c:v>967</c:v>
                </c:pt>
                <c:pt idx="2">
                  <c:v>944</c:v>
                </c:pt>
                <c:pt idx="3">
                  <c:v>933</c:v>
                </c:pt>
                <c:pt idx="4">
                  <c:v>956</c:v>
                </c:pt>
                <c:pt idx="5">
                  <c:v>937</c:v>
                </c:pt>
              </c:numCache>
            </c:numRef>
          </c:val>
          <c:smooth val="0"/>
        </c:ser>
        <c:dLbls>
          <c:showLegendKey val="0"/>
          <c:showVal val="0"/>
          <c:showCatName val="0"/>
          <c:showSerName val="0"/>
          <c:showPercent val="0"/>
          <c:showBubbleSize val="0"/>
        </c:dLbls>
        <c:marker val="1"/>
        <c:smooth val="0"/>
        <c:axId val="138864512"/>
        <c:axId val="141996032"/>
      </c:lineChart>
      <c:catAx>
        <c:axId val="138864512"/>
        <c:scaling>
          <c:orientation val="minMax"/>
        </c:scaling>
        <c:delete val="0"/>
        <c:axPos val="b"/>
        <c:title>
          <c:tx>
            <c:rich>
              <a:bodyPr/>
              <a:lstStyle/>
              <a:p>
                <a:pPr>
                  <a:defRPr sz="1450" b="1" i="0" u="none" strike="noStrike" baseline="0">
                    <a:solidFill>
                      <a:srgbClr val="000000"/>
                    </a:solidFill>
                    <a:latin typeface="Arial CE"/>
                    <a:ea typeface="Arial CE"/>
                    <a:cs typeface="Arial CE"/>
                  </a:defRPr>
                </a:pPr>
                <a:r>
                  <a:rPr lang="cs-CZ"/>
                  <a:t>rok</a:t>
                </a:r>
              </a:p>
            </c:rich>
          </c:tx>
          <c:layout>
            <c:manualLayout>
              <c:xMode val="edge"/>
              <c:yMode val="edge"/>
              <c:x val="0.51271261052842709"/>
              <c:y val="0.93675366721291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41996032"/>
        <c:crosses val="autoZero"/>
        <c:auto val="1"/>
        <c:lblAlgn val="ctr"/>
        <c:lblOffset val="100"/>
        <c:noMultiLvlLbl val="0"/>
      </c:catAx>
      <c:valAx>
        <c:axId val="141996032"/>
        <c:scaling>
          <c:orientation val="minMax"/>
          <c:max val="980"/>
          <c:min val="86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E"/>
                <a:ea typeface="Arial CE"/>
                <a:cs typeface="Arial CE"/>
              </a:defRPr>
            </a:pPr>
            <a:endParaRPr lang="cs-CZ"/>
          </a:p>
        </c:txPr>
        <c:crossAx val="138864512"/>
        <c:crosses val="autoZero"/>
        <c:crossBetween val="between"/>
      </c:valAx>
      <c:spPr>
        <a:solidFill>
          <a:srgbClr val="CCFFCC"/>
        </a:solidFill>
        <a:ln w="3175">
          <a:solidFill>
            <a:srgbClr val="000000"/>
          </a:solidFill>
          <a:prstDash val="solid"/>
        </a:ln>
      </c:spPr>
    </c:plotArea>
    <c:plotVisOnly val="1"/>
    <c:dispBlanksAs val="zero"/>
    <c:showDLblsOverMax val="0"/>
  </c:chart>
  <c:spPr>
    <a:solidFill>
      <a:srgbClr val="CCFFFF"/>
    </a:solidFill>
    <a:ln w="3175">
      <a:solidFill>
        <a:srgbClr val="000000"/>
      </a:solidFill>
      <a:prstDash val="solid"/>
    </a:ln>
    <a:effectLst>
      <a:outerShdw dist="35921" dir="2700000" algn="br">
        <a:srgbClr val="000000"/>
      </a:outerShdw>
    </a:effectLst>
  </c:spPr>
  <c:txPr>
    <a:bodyPr/>
    <a:lstStyle/>
    <a:p>
      <a:pPr>
        <a:defRPr sz="1450" b="0" i="0" u="none" strike="noStrike" baseline="0">
          <a:solidFill>
            <a:srgbClr val="000000"/>
          </a:solidFill>
          <a:latin typeface="Arial CE"/>
          <a:ea typeface="Arial CE"/>
          <a:cs typeface="Arial CE"/>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cs-CZ"/>
              <a:t>Daňové příjmy v roce 2018</a:t>
            </a:r>
          </a:p>
        </c:rich>
      </c:tx>
      <c:overlay val="0"/>
    </c:title>
    <c:autoTitleDeleted val="0"/>
    <c:plotArea>
      <c:layout>
        <c:manualLayout>
          <c:layoutTarget val="inner"/>
          <c:xMode val="edge"/>
          <c:yMode val="edge"/>
          <c:x val="9.821996007405151E-2"/>
          <c:y val="8.5218702865761692E-2"/>
          <c:w val="0.79926478919340826"/>
          <c:h val="0.80467666654790326"/>
        </c:manualLayout>
      </c:layout>
      <c:barChart>
        <c:barDir val="col"/>
        <c:grouping val="clustered"/>
        <c:varyColors val="0"/>
        <c:ser>
          <c:idx val="1"/>
          <c:order val="0"/>
          <c:tx>
            <c:v>Rozpočet 2018</c:v>
          </c:tx>
          <c:spPr>
            <a:solidFill>
              <a:srgbClr val="802060"/>
            </a:solidFill>
            <a:ln w="12700">
              <a:solidFill>
                <a:srgbClr val="000000"/>
              </a:solidFill>
              <a:prstDash val="solid"/>
            </a:ln>
          </c:spPr>
          <c:invertIfNegative val="0"/>
          <c:val>
            <c:numRef>
              <c:f>'2018'!$B$96:$M$96</c:f>
              <c:numCache>
                <c:formatCode>#,##0</c:formatCode>
                <c:ptCount val="12"/>
                <c:pt idx="0">
                  <c:v>6291.6666666666661</c:v>
                </c:pt>
                <c:pt idx="1">
                  <c:v>12583.333333333332</c:v>
                </c:pt>
                <c:pt idx="2">
                  <c:v>18875</c:v>
                </c:pt>
                <c:pt idx="3">
                  <c:v>25166.666666666664</c:v>
                </c:pt>
                <c:pt idx="4">
                  <c:v>31458.333333333332</c:v>
                </c:pt>
                <c:pt idx="5">
                  <c:v>37750</c:v>
                </c:pt>
                <c:pt idx="6">
                  <c:v>44041.666666666664</c:v>
                </c:pt>
                <c:pt idx="7">
                  <c:v>50333.333333333336</c:v>
                </c:pt>
                <c:pt idx="8">
                  <c:v>56625</c:v>
                </c:pt>
                <c:pt idx="9">
                  <c:v>62916.666666666679</c:v>
                </c:pt>
                <c:pt idx="10">
                  <c:v>69208.333333333343</c:v>
                </c:pt>
                <c:pt idx="11">
                  <c:v>75500</c:v>
                </c:pt>
              </c:numCache>
            </c:numRef>
          </c:val>
        </c:ser>
        <c:ser>
          <c:idx val="0"/>
          <c:order val="1"/>
          <c:tx>
            <c:v>Plnění</c:v>
          </c:tx>
          <c:spPr>
            <a:solidFill>
              <a:srgbClr val="8080FF"/>
            </a:solidFill>
            <a:ln w="12700">
              <a:solidFill>
                <a:srgbClr val="000000"/>
              </a:solidFill>
              <a:prstDash val="solid"/>
            </a:ln>
          </c:spPr>
          <c:invertIfNegative val="0"/>
          <c:val>
            <c:numRef>
              <c:f>'2018'!$B$105:$M$105</c:f>
              <c:numCache>
                <c:formatCode>#,##0</c:formatCode>
                <c:ptCount val="12"/>
                <c:pt idx="0">
                  <c:v>5317.8977600000007</c:v>
                </c:pt>
                <c:pt idx="1">
                  <c:v>11571.81791</c:v>
                </c:pt>
                <c:pt idx="2">
                  <c:v>17994.357050000002</c:v>
                </c:pt>
                <c:pt idx="3">
                  <c:v>22506.044735300002</c:v>
                </c:pt>
                <c:pt idx="4">
                  <c:v>27907.753005300001</c:v>
                </c:pt>
                <c:pt idx="5">
                  <c:v>38173.439065300008</c:v>
                </c:pt>
                <c:pt idx="6">
                  <c:v>46292.678065300002</c:v>
                </c:pt>
                <c:pt idx="7">
                  <c:v>52407.222165300002</c:v>
                </c:pt>
                <c:pt idx="8">
                  <c:v>57560.3925953</c:v>
                </c:pt>
                <c:pt idx="9">
                  <c:v>63654.405995299996</c:v>
                </c:pt>
                <c:pt idx="10">
                  <c:v>69832.617135299995</c:v>
                </c:pt>
                <c:pt idx="11">
                  <c:v>79177.601145299996</c:v>
                </c:pt>
              </c:numCache>
            </c:numRef>
          </c:val>
        </c:ser>
        <c:dLbls>
          <c:showLegendKey val="0"/>
          <c:showVal val="0"/>
          <c:showCatName val="0"/>
          <c:showSerName val="0"/>
          <c:showPercent val="0"/>
          <c:showBubbleSize val="0"/>
        </c:dLbls>
        <c:gapWidth val="150"/>
        <c:axId val="142359552"/>
        <c:axId val="142373632"/>
      </c:barChart>
      <c:lineChart>
        <c:grouping val="standard"/>
        <c:varyColors val="0"/>
        <c:ser>
          <c:idx val="2"/>
          <c:order val="2"/>
          <c:tx>
            <c:v>Rozdíl</c:v>
          </c:tx>
          <c:spPr>
            <a:ln w="12700">
              <a:solidFill>
                <a:srgbClr val="000000"/>
              </a:solidFill>
              <a:prstDash val="solid"/>
            </a:ln>
          </c:spPr>
          <c:marker>
            <c:symbol val="triangle"/>
            <c:size val="5"/>
            <c:spPr>
              <a:solidFill>
                <a:srgbClr val="000000"/>
              </a:solidFill>
              <a:ln>
                <a:solidFill>
                  <a:srgbClr val="FFFF00"/>
                </a:solidFill>
                <a:prstDash val="solid"/>
              </a:ln>
            </c:spPr>
          </c:marker>
          <c:dLbls>
            <c:dLbl>
              <c:idx val="9"/>
              <c:layout>
                <c:manualLayout>
                  <c:x val="-4.5457384125326877E-2"/>
                  <c:y val="-2.8363321100699543E-2"/>
                </c:manualLayout>
              </c:layout>
              <c:dLblPos val="r"/>
              <c:showLegendKey val="0"/>
              <c:showVal val="1"/>
              <c:showCatName val="0"/>
              <c:showSerName val="0"/>
              <c:showPercent val="0"/>
              <c:showBubbleSize val="0"/>
            </c:dLbl>
            <c:dLbl>
              <c:idx val="10"/>
              <c:layout>
                <c:manualLayout>
                  <c:x val="-3.8090901620722824E-2"/>
                  <c:y val="-3.741309485635564E-2"/>
                </c:manualLayout>
              </c:layout>
              <c:dLblPos val="r"/>
              <c:showLegendKey val="0"/>
              <c:showVal val="1"/>
              <c:showCatName val="0"/>
              <c:showSerName val="0"/>
              <c:showPercent val="0"/>
              <c:showBubbleSize val="0"/>
            </c:dLbl>
            <c:dLbl>
              <c:idx val="11"/>
              <c:layout>
                <c:manualLayout>
                  <c:x val="-9.6194080712286661E-2"/>
                  <c:y val="-8.5678554886521527E-2"/>
                </c:manualLayout>
              </c:layout>
              <c:dLblPos val="r"/>
              <c:showLegendKey val="0"/>
              <c:showVal val="1"/>
              <c:showCatName val="0"/>
              <c:showSerName val="0"/>
              <c:showPercent val="0"/>
              <c:showBubbleSize val="0"/>
            </c:dLbl>
            <c:numFmt formatCode="#,##0_ ;[Red]\-#,##0\ " sourceLinked="0"/>
            <c:spPr>
              <a:noFill/>
              <a:ln w="25400">
                <a:noFill/>
              </a:ln>
            </c:spPr>
            <c:txPr>
              <a:bodyPr/>
              <a:lstStyle/>
              <a:p>
                <a:pPr>
                  <a:defRPr sz="800" b="1" i="0" u="none" strike="noStrike" baseline="0">
                    <a:solidFill>
                      <a:srgbClr val="000000"/>
                    </a:solidFill>
                    <a:latin typeface="Arial"/>
                    <a:ea typeface="Arial"/>
                    <a:cs typeface="Arial"/>
                  </a:defRPr>
                </a:pPr>
                <a:endParaRPr lang="cs-CZ"/>
              </a:p>
            </c:txPr>
            <c:dLblPos val="b"/>
            <c:showLegendKey val="0"/>
            <c:showVal val="1"/>
            <c:showCatName val="0"/>
            <c:showSerName val="0"/>
            <c:showPercent val="0"/>
            <c:showBubbleSize val="0"/>
            <c:showLeaderLines val="0"/>
          </c:dLbls>
          <c:val>
            <c:numRef>
              <c:f>'2018'!$B$106:$M$106</c:f>
              <c:numCache>
                <c:formatCode>#,##0</c:formatCode>
                <c:ptCount val="12"/>
                <c:pt idx="0">
                  <c:v>-973.76890666666532</c:v>
                </c:pt>
                <c:pt idx="1">
                  <c:v>-1011.5154233333324</c:v>
                </c:pt>
                <c:pt idx="2">
                  <c:v>-880.64294999999765</c:v>
                </c:pt>
                <c:pt idx="3">
                  <c:v>-2660.6219313666625</c:v>
                </c:pt>
                <c:pt idx="4">
                  <c:v>-3550.5803280333312</c:v>
                </c:pt>
                <c:pt idx="5">
                  <c:v>423.43906530000822</c:v>
                </c:pt>
                <c:pt idx="6">
                  <c:v>2251.0113986333381</c:v>
                </c:pt>
                <c:pt idx="7">
                  <c:v>2073.8888319666657</c:v>
                </c:pt>
                <c:pt idx="8">
                  <c:v>935.39259529999981</c:v>
                </c:pt>
                <c:pt idx="9">
                  <c:v>737.7393286333172</c:v>
                </c:pt>
                <c:pt idx="10">
                  <c:v>624.28380196665239</c:v>
                </c:pt>
                <c:pt idx="11">
                  <c:v>3677.6011452999956</c:v>
                </c:pt>
              </c:numCache>
            </c:numRef>
          </c:val>
          <c:smooth val="0"/>
        </c:ser>
        <c:dLbls>
          <c:showLegendKey val="0"/>
          <c:showVal val="0"/>
          <c:showCatName val="0"/>
          <c:showSerName val="0"/>
          <c:showPercent val="0"/>
          <c:showBubbleSize val="0"/>
        </c:dLbls>
        <c:marker val="1"/>
        <c:smooth val="0"/>
        <c:axId val="142375168"/>
        <c:axId val="142381056"/>
      </c:lineChart>
      <c:catAx>
        <c:axId val="1423595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cs-CZ"/>
          </a:p>
        </c:txPr>
        <c:crossAx val="142373632"/>
        <c:crosses val="autoZero"/>
        <c:auto val="0"/>
        <c:lblAlgn val="ctr"/>
        <c:lblOffset val="100"/>
        <c:tickLblSkip val="1"/>
        <c:tickMarkSkip val="1"/>
        <c:noMultiLvlLbl val="0"/>
      </c:catAx>
      <c:valAx>
        <c:axId val="142373632"/>
        <c:scaling>
          <c:orientation val="minMax"/>
          <c:max val="800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cs-CZ"/>
          </a:p>
        </c:txPr>
        <c:crossAx val="142359552"/>
        <c:crosses val="autoZero"/>
        <c:crossBetween val="between"/>
      </c:valAx>
      <c:catAx>
        <c:axId val="142375168"/>
        <c:scaling>
          <c:orientation val="minMax"/>
        </c:scaling>
        <c:delete val="1"/>
        <c:axPos val="b"/>
        <c:majorTickMark val="out"/>
        <c:minorTickMark val="none"/>
        <c:tickLblPos val="nextTo"/>
        <c:crossAx val="142381056"/>
        <c:crosses val="autoZero"/>
        <c:auto val="0"/>
        <c:lblAlgn val="ctr"/>
        <c:lblOffset val="100"/>
        <c:noMultiLvlLbl val="0"/>
      </c:catAx>
      <c:valAx>
        <c:axId val="142381056"/>
        <c:scaling>
          <c:orientation val="minMax"/>
          <c:max val="8000"/>
          <c:min val="-18000"/>
        </c:scaling>
        <c:delete val="0"/>
        <c:axPos val="r"/>
        <c:numFmt formatCode="#,##0"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cs-CZ"/>
          </a:p>
        </c:txPr>
        <c:crossAx val="142375168"/>
        <c:crosses val="max"/>
        <c:crossBetween val="between"/>
        <c:majorUnit val="2000"/>
      </c:valAx>
      <c:spPr>
        <a:solidFill>
          <a:srgbClr val="FFFFC0"/>
        </a:solidFill>
        <a:ln w="12700">
          <a:solidFill>
            <a:srgbClr val="808080"/>
          </a:solidFill>
          <a:prstDash val="solid"/>
        </a:ln>
      </c:spPr>
    </c:plotArea>
    <c:legend>
      <c:legendPos val="b"/>
      <c:layout>
        <c:manualLayout>
          <c:xMode val="edge"/>
          <c:yMode val="edge"/>
          <c:x val="0.27071861873619385"/>
          <c:y val="0.93966912506977351"/>
          <c:w val="0.44713814088156112"/>
          <c:h val="5.7880547736962717E-2"/>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cs-CZ"/>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cs-CZ"/>
              <a:t>Daňové příjmy města v roce 2015,2016,2017,2018</a:t>
            </a:r>
          </a:p>
        </c:rich>
      </c:tx>
      <c:layout>
        <c:manualLayout>
          <c:xMode val="edge"/>
          <c:yMode val="edge"/>
          <c:x val="0.14854464047609023"/>
          <c:y val="4.7945205479452052E-2"/>
        </c:manualLayout>
      </c:layout>
      <c:overlay val="0"/>
      <c:spPr>
        <a:noFill/>
        <a:ln w="25400">
          <a:noFill/>
        </a:ln>
      </c:spPr>
    </c:title>
    <c:autoTitleDeleted val="0"/>
    <c:plotArea>
      <c:layout>
        <c:manualLayout>
          <c:layoutTarget val="inner"/>
          <c:xMode val="edge"/>
          <c:yMode val="edge"/>
          <c:x val="0.15686301815782741"/>
          <c:y val="0.11643855087246975"/>
          <c:w val="0.67558049865700665"/>
          <c:h val="0.72260394806150352"/>
        </c:manualLayout>
      </c:layout>
      <c:barChart>
        <c:barDir val="col"/>
        <c:grouping val="clustered"/>
        <c:varyColors val="0"/>
        <c:ser>
          <c:idx val="0"/>
          <c:order val="0"/>
          <c:tx>
            <c:v>rok 2015</c:v>
          </c:tx>
          <c:spPr>
            <a:solidFill>
              <a:srgbClr val="8080FF"/>
            </a:solidFill>
            <a:ln w="12700">
              <a:solidFill>
                <a:srgbClr val="000000"/>
              </a:solidFill>
              <a:prstDash val="solid"/>
            </a:ln>
          </c:spPr>
          <c:invertIfNegative val="0"/>
          <c:val>
            <c:numRef>
              <c:f>'2018'!$B$77:$M$77</c:f>
              <c:numCache>
                <c:formatCode>#,##0</c:formatCode>
                <c:ptCount val="12"/>
                <c:pt idx="0">
                  <c:v>4181.7454499999994</c:v>
                </c:pt>
                <c:pt idx="1">
                  <c:v>9013.4332200000008</c:v>
                </c:pt>
                <c:pt idx="2">
                  <c:v>12492.890940000003</c:v>
                </c:pt>
                <c:pt idx="3">
                  <c:v>16898.649170000004</c:v>
                </c:pt>
                <c:pt idx="4">
                  <c:v>21023.708000000002</c:v>
                </c:pt>
                <c:pt idx="5">
                  <c:v>28707.228680000004</c:v>
                </c:pt>
                <c:pt idx="6">
                  <c:v>35319.824750000007</c:v>
                </c:pt>
                <c:pt idx="7">
                  <c:v>39907.852610000009</c:v>
                </c:pt>
                <c:pt idx="8">
                  <c:v>44973.266060000002</c:v>
                </c:pt>
                <c:pt idx="9">
                  <c:v>48646.086540000004</c:v>
                </c:pt>
                <c:pt idx="10">
                  <c:v>53516.131480000011</c:v>
                </c:pt>
                <c:pt idx="11">
                  <c:v>61438.608790000013</c:v>
                </c:pt>
              </c:numCache>
            </c:numRef>
          </c:val>
        </c:ser>
        <c:ser>
          <c:idx val="3"/>
          <c:order val="1"/>
          <c:tx>
            <c:v>rok 2016</c:v>
          </c:tx>
          <c:spPr>
            <a:solidFill>
              <a:srgbClr val="00FFFF"/>
            </a:solidFill>
            <a:ln w="12700">
              <a:solidFill>
                <a:srgbClr val="000000"/>
              </a:solidFill>
              <a:prstDash val="solid"/>
            </a:ln>
          </c:spPr>
          <c:invertIfNegative val="0"/>
          <c:val>
            <c:numRef>
              <c:f>'2018'!$B$58:$M$58</c:f>
              <c:numCache>
                <c:formatCode>#,##0</c:formatCode>
                <c:ptCount val="12"/>
                <c:pt idx="0">
                  <c:v>4550.5299100000002</c:v>
                </c:pt>
                <c:pt idx="1">
                  <c:v>9380.85563</c:v>
                </c:pt>
                <c:pt idx="2">
                  <c:v>14139.399659999999</c:v>
                </c:pt>
                <c:pt idx="3">
                  <c:v>18153.989600000001</c:v>
                </c:pt>
                <c:pt idx="4">
                  <c:v>22163.661200000002</c:v>
                </c:pt>
                <c:pt idx="5">
                  <c:v>30712.082739999998</c:v>
                </c:pt>
                <c:pt idx="6">
                  <c:v>37719.945190000006</c:v>
                </c:pt>
                <c:pt idx="7">
                  <c:v>42431.816769999998</c:v>
                </c:pt>
                <c:pt idx="8">
                  <c:v>47966.313629999997</c:v>
                </c:pt>
                <c:pt idx="9">
                  <c:v>52614.873090000001</c:v>
                </c:pt>
                <c:pt idx="10">
                  <c:v>57446.46819</c:v>
                </c:pt>
                <c:pt idx="11">
                  <c:v>66132.434330000004</c:v>
                </c:pt>
              </c:numCache>
            </c:numRef>
          </c:val>
        </c:ser>
        <c:ser>
          <c:idx val="1"/>
          <c:order val="2"/>
          <c:tx>
            <c:v>rok 2017</c:v>
          </c:tx>
          <c:spPr>
            <a:solidFill>
              <a:srgbClr val="FFFFC0"/>
            </a:solidFill>
            <a:ln w="12700">
              <a:solidFill>
                <a:srgbClr val="000000"/>
              </a:solidFill>
              <a:prstDash val="solid"/>
            </a:ln>
          </c:spPr>
          <c:invertIfNegative val="0"/>
          <c:val>
            <c:numRef>
              <c:f>'2018'!$B$30:$M$30</c:f>
              <c:numCache>
                <c:formatCode>#,##0</c:formatCode>
                <c:ptCount val="12"/>
                <c:pt idx="0">
                  <c:v>4862.5426100000004</c:v>
                </c:pt>
                <c:pt idx="1">
                  <c:v>10157.513629999999</c:v>
                </c:pt>
                <c:pt idx="2">
                  <c:v>15749.96415</c:v>
                </c:pt>
                <c:pt idx="3">
                  <c:v>19639.640430000003</c:v>
                </c:pt>
                <c:pt idx="4">
                  <c:v>24593.052940000005</c:v>
                </c:pt>
                <c:pt idx="5">
                  <c:v>33829.251690000005</c:v>
                </c:pt>
                <c:pt idx="6">
                  <c:v>41283.446300000003</c:v>
                </c:pt>
                <c:pt idx="7">
                  <c:v>46408.732550000001</c:v>
                </c:pt>
                <c:pt idx="8">
                  <c:v>51744.632880000012</c:v>
                </c:pt>
                <c:pt idx="9">
                  <c:v>56703.487190000007</c:v>
                </c:pt>
                <c:pt idx="10">
                  <c:v>62079.63192</c:v>
                </c:pt>
                <c:pt idx="11">
                  <c:v>70932.667530000006</c:v>
                </c:pt>
              </c:numCache>
            </c:numRef>
          </c:val>
        </c:ser>
        <c:ser>
          <c:idx val="2"/>
          <c:order val="3"/>
          <c:tx>
            <c:v>rok 2018</c:v>
          </c:tx>
          <c:spPr>
            <a:solidFill>
              <a:srgbClr val="802060"/>
            </a:solidFill>
            <a:ln w="12700">
              <a:solidFill>
                <a:srgbClr val="000000"/>
              </a:solidFill>
              <a:prstDash val="solid"/>
            </a:ln>
          </c:spPr>
          <c:invertIfNegative val="0"/>
          <c:val>
            <c:numRef>
              <c:f>'2018'!$B$11:$M$11</c:f>
              <c:numCache>
                <c:formatCode>#,##0</c:formatCode>
                <c:ptCount val="12"/>
                <c:pt idx="0">
                  <c:v>5317.8977600000007</c:v>
                </c:pt>
                <c:pt idx="1">
                  <c:v>11571.81791</c:v>
                </c:pt>
                <c:pt idx="2">
                  <c:v>17994.357050000002</c:v>
                </c:pt>
                <c:pt idx="3">
                  <c:v>22506.044735300002</c:v>
                </c:pt>
                <c:pt idx="4">
                  <c:v>27907.753005300001</c:v>
                </c:pt>
                <c:pt idx="5">
                  <c:v>38173.439065300008</c:v>
                </c:pt>
                <c:pt idx="6">
                  <c:v>46292.678065300002</c:v>
                </c:pt>
                <c:pt idx="7">
                  <c:v>52407.222165300002</c:v>
                </c:pt>
                <c:pt idx="8">
                  <c:v>57560.3925953</c:v>
                </c:pt>
                <c:pt idx="9">
                  <c:v>63654.405995299996</c:v>
                </c:pt>
                <c:pt idx="10">
                  <c:v>69832.617135299995</c:v>
                </c:pt>
                <c:pt idx="11" formatCode="#,##0.0">
                  <c:v>79177.601145299996</c:v>
                </c:pt>
              </c:numCache>
            </c:numRef>
          </c:val>
        </c:ser>
        <c:dLbls>
          <c:showLegendKey val="0"/>
          <c:showVal val="0"/>
          <c:showCatName val="0"/>
          <c:showSerName val="0"/>
          <c:showPercent val="0"/>
          <c:showBubbleSize val="0"/>
        </c:dLbls>
        <c:gapWidth val="100"/>
        <c:axId val="142629888"/>
        <c:axId val="142632064"/>
      </c:barChart>
      <c:catAx>
        <c:axId val="142629888"/>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cs-CZ"/>
                  <a:t>měsíc</a:t>
                </a:r>
              </a:p>
            </c:rich>
          </c:tx>
          <c:layout>
            <c:manualLayout>
              <c:xMode val="edge"/>
              <c:yMode val="edge"/>
              <c:x val="0.49019701414328559"/>
              <c:y val="0.9109603422859813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2632064"/>
        <c:crosses val="autoZero"/>
        <c:auto val="0"/>
        <c:lblAlgn val="ctr"/>
        <c:lblOffset val="100"/>
        <c:tickLblSkip val="1"/>
        <c:tickMarkSkip val="1"/>
        <c:noMultiLvlLbl val="0"/>
      </c:catAx>
      <c:valAx>
        <c:axId val="142632064"/>
        <c:scaling>
          <c:orientation val="minMax"/>
        </c:scaling>
        <c:delete val="0"/>
        <c:axPos val="l"/>
        <c:majorGridlines/>
        <c:title>
          <c:tx>
            <c:rich>
              <a:bodyPr/>
              <a:lstStyle/>
              <a:p>
                <a:pPr>
                  <a:defRPr sz="800" b="1" i="0" u="none" strike="noStrike" baseline="0">
                    <a:solidFill>
                      <a:srgbClr val="000000"/>
                    </a:solidFill>
                    <a:latin typeface="Arial"/>
                    <a:ea typeface="Arial"/>
                    <a:cs typeface="Arial"/>
                  </a:defRPr>
                </a:pPr>
                <a:r>
                  <a:rPr lang="cs-CZ"/>
                  <a:t>tis.Kč</a:t>
                </a:r>
              </a:p>
            </c:rich>
          </c:tx>
          <c:layout>
            <c:manualLayout>
              <c:xMode val="edge"/>
              <c:yMode val="edge"/>
              <c:x val="3.7433155080213901E-2"/>
              <c:y val="0.4075349656635385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2629888"/>
        <c:crosses val="autoZero"/>
        <c:crossBetween val="between"/>
        <c:majorUnit val="10000"/>
        <c:minorUnit val="5000"/>
      </c:valAx>
      <c:spPr>
        <a:solidFill>
          <a:srgbClr val="CCFFCC"/>
        </a:solidFill>
        <a:ln w="12700">
          <a:solidFill>
            <a:srgbClr val="FFFFFF"/>
          </a:solidFill>
          <a:prstDash val="solid"/>
        </a:ln>
      </c:spPr>
    </c:plotArea>
    <c:legend>
      <c:legendPos val="r"/>
      <c:layout>
        <c:manualLayout>
          <c:xMode val="edge"/>
          <c:yMode val="edge"/>
          <c:x val="0.83184938781048079"/>
          <c:y val="0.11643907525257972"/>
          <c:w val="0.16577577535428389"/>
          <c:h val="0.22602775680437204"/>
        </c:manualLayout>
      </c:layout>
      <c:overlay val="0"/>
      <c:spPr>
        <a:solidFill>
          <a:srgbClr val="FFFFFF"/>
        </a:solidFill>
        <a:ln w="3175">
          <a:solidFill>
            <a:srgbClr val="000000"/>
          </a:solidFill>
          <a:prstDash val="solid"/>
        </a:ln>
      </c:spPr>
      <c:txPr>
        <a:bodyPr/>
        <a:lstStyle/>
        <a:p>
          <a:pPr>
            <a:defRPr lang="cs-CZ" sz="1000" b="1" i="0" u="none" strike="noStrike" kern="1200" baseline="0">
              <a:solidFill>
                <a:srgbClr val="000000"/>
              </a:solidFill>
              <a:latin typeface="Times New Roman"/>
              <a:ea typeface="Times New Roman"/>
              <a:cs typeface="Times New Roman"/>
            </a:defRPr>
          </a:pPr>
          <a:endParaRPr lang="cs-CZ"/>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1200" b="0" i="0" u="none" strike="noStrike" baseline="0">
          <a:solidFill>
            <a:srgbClr val="000000"/>
          </a:solidFill>
          <a:latin typeface="Times New Roman"/>
          <a:ea typeface="Times New Roman"/>
          <a:cs typeface="Times New Roman"/>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cs-CZ"/>
              <a:t>Rozdíly daňových příjmů  v roce 2018 proti roku 2016
</a:t>
            </a:r>
          </a:p>
        </c:rich>
      </c:tx>
      <c:layout>
        <c:manualLayout>
          <c:xMode val="edge"/>
          <c:yMode val="edge"/>
          <c:x val="0.15742415918940364"/>
          <c:y val="1.6666666666666666E-2"/>
        </c:manualLayout>
      </c:layout>
      <c:overlay val="0"/>
      <c:spPr>
        <a:noFill/>
        <a:ln w="25400">
          <a:noFill/>
        </a:ln>
      </c:spPr>
    </c:title>
    <c:autoTitleDeleted val="0"/>
    <c:plotArea>
      <c:layout>
        <c:manualLayout>
          <c:layoutTarget val="inner"/>
          <c:xMode val="edge"/>
          <c:yMode val="edge"/>
          <c:x val="0.14490173658819511"/>
          <c:y val="0.16000052083502875"/>
          <c:w val="0.79427618574269909"/>
          <c:h val="0.69666893446918776"/>
        </c:manualLayout>
      </c:layout>
      <c:barChart>
        <c:barDir val="col"/>
        <c:grouping val="clustered"/>
        <c:varyColors val="0"/>
        <c:ser>
          <c:idx val="0"/>
          <c:order val="0"/>
          <c:tx>
            <c:strRef>
              <c:f>'2018'!$A$46</c:f>
              <c:strCache>
                <c:ptCount val="1"/>
                <c:pt idx="0">
                  <c:v>měsíční přebytek</c:v>
                </c:pt>
              </c:strCache>
            </c:strRef>
          </c:tx>
          <c:spPr>
            <a:solidFill>
              <a:srgbClr val="8080FF"/>
            </a:solidFill>
            <a:ln w="12700">
              <a:solidFill>
                <a:srgbClr val="000000"/>
              </a:solidFill>
              <a:prstDash val="solid"/>
            </a:ln>
          </c:spPr>
          <c:invertIfNegative val="0"/>
          <c:val>
            <c:numRef>
              <c:f>'2018'!$B$46:$M$46</c:f>
              <c:numCache>
                <c:formatCode>#,##0</c:formatCode>
                <c:ptCount val="12"/>
                <c:pt idx="0">
                  <c:v>767.36785000000054</c:v>
                </c:pt>
                <c:pt idx="1">
                  <c:v>1423.594430000001</c:v>
                </c:pt>
                <c:pt idx="2">
                  <c:v>1663.9951100000008</c:v>
                </c:pt>
                <c:pt idx="3">
                  <c:v>497.09774529999959</c:v>
                </c:pt>
                <c:pt idx="4">
                  <c:v>1392.0366700000013</c:v>
                </c:pt>
                <c:pt idx="5">
                  <c:v>1717.2645200000043</c:v>
                </c:pt>
                <c:pt idx="6">
                  <c:v>1111.3765499999972</c:v>
                </c:pt>
                <c:pt idx="7">
                  <c:v>1402.672520000001</c:v>
                </c:pt>
                <c:pt idx="8">
                  <c:v>-381.32642999999916</c:v>
                </c:pt>
                <c:pt idx="9">
                  <c:v>1445.4539399999931</c:v>
                </c:pt>
                <c:pt idx="10">
                  <c:v>1346.6160399999981</c:v>
                </c:pt>
                <c:pt idx="11">
                  <c:v>659.01787000000513</c:v>
                </c:pt>
              </c:numCache>
            </c:numRef>
          </c:val>
        </c:ser>
        <c:ser>
          <c:idx val="1"/>
          <c:order val="1"/>
          <c:tx>
            <c:strRef>
              <c:f>'2018'!$A$47</c:f>
              <c:strCache>
                <c:ptCount val="1"/>
                <c:pt idx="0">
                  <c:v>roční přebytek</c:v>
                </c:pt>
              </c:strCache>
            </c:strRef>
          </c:tx>
          <c:spPr>
            <a:solidFill>
              <a:srgbClr val="993366"/>
            </a:solidFill>
            <a:ln w="12700">
              <a:solidFill>
                <a:srgbClr val="000000"/>
              </a:solidFill>
              <a:prstDash val="solid"/>
            </a:ln>
          </c:spPr>
          <c:invertIfNegative val="0"/>
          <c:dLbls>
            <c:dLbl>
              <c:idx val="1"/>
              <c:layout>
                <c:manualLayout>
                  <c:x val="1.7889087656529517E-3"/>
                  <c:y val="-4.1399825021872262E-3"/>
                </c:manualLayout>
              </c:layout>
              <c:dLblPos val="outEnd"/>
              <c:showLegendKey val="0"/>
              <c:showVal val="1"/>
              <c:showCatName val="0"/>
              <c:showSerName val="0"/>
              <c:showPercent val="0"/>
              <c:showBubbleSize val="0"/>
            </c:dLbl>
            <c:dLbl>
              <c:idx val="2"/>
              <c:layout>
                <c:manualLayout>
                  <c:x val="7.1556350626118068E-3"/>
                  <c:y val="4.4447944006999127E-3"/>
                </c:manualLayout>
              </c:layout>
              <c:dLblPos val="outEnd"/>
              <c:showLegendKey val="0"/>
              <c:showVal val="1"/>
              <c:showCatName val="0"/>
              <c:showSerName val="0"/>
              <c:showPercent val="0"/>
              <c:showBubbleSize val="0"/>
            </c:dLbl>
            <c:dLbl>
              <c:idx val="3"/>
              <c:layout>
                <c:manualLayout>
                  <c:x val="0"/>
                  <c:y val="-3.5014427943167802E-2"/>
                </c:manualLayout>
              </c:layout>
              <c:dLblPos val="outEnd"/>
              <c:showLegendKey val="0"/>
              <c:showVal val="1"/>
              <c:showCatName val="0"/>
              <c:showSerName val="0"/>
              <c:showPercent val="0"/>
              <c:showBubbleSize val="0"/>
            </c:dLbl>
            <c:dLbl>
              <c:idx val="4"/>
              <c:layout>
                <c:manualLayout>
                  <c:x val="1.9663910526389927E-4"/>
                  <c:y val="1.3301837270341208E-3"/>
                </c:manualLayout>
              </c:layout>
              <c:dLblPos val="outEnd"/>
              <c:showLegendKey val="0"/>
              <c:showVal val="1"/>
              <c:showCatName val="0"/>
              <c:showSerName val="0"/>
              <c:showPercent val="0"/>
              <c:showBubbleSize val="0"/>
            </c:dLbl>
            <c:dLbl>
              <c:idx val="5"/>
              <c:layout>
                <c:manualLayout>
                  <c:x val="7.9486327424705596E-3"/>
                  <c:y val="1.9108094608236207E-2"/>
                </c:manualLayout>
              </c:layout>
              <c:dLblPos val="outEnd"/>
              <c:showLegendKey val="0"/>
              <c:showVal val="1"/>
              <c:showCatName val="0"/>
              <c:showSerName val="0"/>
              <c:showPercent val="0"/>
              <c:showBubbleSize val="0"/>
            </c:dLbl>
            <c:numFmt formatCode="0" sourceLinked="0"/>
            <c:spPr>
              <a:noFill/>
              <a:ln w="25400">
                <a:noFill/>
              </a:ln>
            </c:spPr>
            <c:txPr>
              <a:bodyPr/>
              <a:lstStyle/>
              <a:p>
                <a:pPr algn="ctr" rtl="1">
                  <a:defRPr sz="800" b="1" i="0" u="none" strike="noStrike" baseline="0">
                    <a:solidFill>
                      <a:srgbClr val="000000"/>
                    </a:solidFill>
                    <a:latin typeface="Times New Roman"/>
                    <a:ea typeface="Times New Roman"/>
                    <a:cs typeface="Times New Roman"/>
                  </a:defRPr>
                </a:pPr>
                <a:endParaRPr lang="cs-CZ"/>
              </a:p>
            </c:txPr>
            <c:showLegendKey val="0"/>
            <c:showVal val="1"/>
            <c:showCatName val="0"/>
            <c:showSerName val="0"/>
            <c:showPercent val="0"/>
            <c:showBubbleSize val="0"/>
            <c:showLeaderLines val="0"/>
          </c:dLbls>
          <c:val>
            <c:numRef>
              <c:f>'2018'!$B$47:$M$47</c:f>
              <c:numCache>
                <c:formatCode>#,##0</c:formatCode>
                <c:ptCount val="12"/>
                <c:pt idx="0">
                  <c:v>767.36785000000054</c:v>
                </c:pt>
                <c:pt idx="1">
                  <c:v>2190.9622799999997</c:v>
                </c:pt>
                <c:pt idx="2">
                  <c:v>3854.9573900000032</c:v>
                </c:pt>
                <c:pt idx="3">
                  <c:v>4352.055135300001</c:v>
                </c:pt>
                <c:pt idx="4">
                  <c:v>5744.0918052999987</c:v>
                </c:pt>
                <c:pt idx="5">
                  <c:v>7461.3563253000102</c:v>
                </c:pt>
                <c:pt idx="6">
                  <c:v>8572.7328752999965</c:v>
                </c:pt>
                <c:pt idx="7">
                  <c:v>9975.4053953000039</c:v>
                </c:pt>
                <c:pt idx="8">
                  <c:v>9594.0789653000029</c:v>
                </c:pt>
                <c:pt idx="9">
                  <c:v>11039.532905299995</c:v>
                </c:pt>
                <c:pt idx="10">
                  <c:v>12386.148945299996</c:v>
                </c:pt>
                <c:pt idx="11">
                  <c:v>13045.166815299992</c:v>
                </c:pt>
              </c:numCache>
            </c:numRef>
          </c:val>
        </c:ser>
        <c:dLbls>
          <c:showLegendKey val="0"/>
          <c:showVal val="0"/>
          <c:showCatName val="0"/>
          <c:showSerName val="0"/>
          <c:showPercent val="0"/>
          <c:showBubbleSize val="0"/>
        </c:dLbls>
        <c:gapWidth val="100"/>
        <c:axId val="146156160"/>
        <c:axId val="146215680"/>
      </c:barChart>
      <c:catAx>
        <c:axId val="146156160"/>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cs-CZ"/>
                  <a:t>měsíc</a:t>
                </a:r>
              </a:p>
            </c:rich>
          </c:tx>
          <c:layout>
            <c:manualLayout>
              <c:xMode val="edge"/>
              <c:yMode val="edge"/>
              <c:x val="0.54025101066302306"/>
              <c:y val="0.886669466316710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6215680"/>
        <c:crosses val="autoZero"/>
        <c:auto val="0"/>
        <c:lblAlgn val="ctr"/>
        <c:lblOffset val="100"/>
        <c:tickLblSkip val="1"/>
        <c:tickMarkSkip val="1"/>
        <c:noMultiLvlLbl val="0"/>
      </c:catAx>
      <c:valAx>
        <c:axId val="146215680"/>
        <c:scaling>
          <c:orientation val="minMax"/>
          <c:min val="-2000"/>
        </c:scaling>
        <c:delete val="0"/>
        <c:axPos val="l"/>
        <c:title>
          <c:tx>
            <c:rich>
              <a:bodyPr/>
              <a:lstStyle/>
              <a:p>
                <a:pPr>
                  <a:defRPr sz="900" b="1" i="0" u="none" strike="noStrike" baseline="0">
                    <a:solidFill>
                      <a:srgbClr val="000000"/>
                    </a:solidFill>
                    <a:latin typeface="Arial"/>
                    <a:ea typeface="Arial"/>
                    <a:cs typeface="Arial"/>
                  </a:defRPr>
                </a:pPr>
                <a:r>
                  <a:rPr lang="cs-CZ"/>
                  <a:t>tis.Kč</a:t>
                </a:r>
              </a:p>
            </c:rich>
          </c:tx>
          <c:layout>
            <c:manualLayout>
              <c:xMode val="edge"/>
              <c:yMode val="edge"/>
              <c:x val="1.0733452593917709E-2"/>
              <c:y val="0.47333473315835523"/>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6156160"/>
        <c:crosses val="autoZero"/>
        <c:crossBetween val="between"/>
        <c:majorUnit val="2000"/>
        <c:minorUnit val="500"/>
      </c:valAx>
      <c:spPr>
        <a:solidFill>
          <a:srgbClr val="CCFFCC"/>
        </a:solidFill>
        <a:ln w="12700">
          <a:solidFill>
            <a:srgbClr val="FFFFFF"/>
          </a:solidFill>
          <a:prstDash val="solid"/>
        </a:ln>
      </c:spPr>
    </c:plotArea>
    <c:legend>
      <c:legendPos val="r"/>
      <c:legendEntry>
        <c:idx val="0"/>
        <c:txPr>
          <a:bodyPr/>
          <a:lstStyle/>
          <a:p>
            <a:pPr>
              <a:defRPr sz="1000" b="1" i="0" u="none" strike="noStrike" baseline="0">
                <a:solidFill>
                  <a:srgbClr val="000000"/>
                </a:solidFill>
                <a:latin typeface="Times New Roman"/>
                <a:ea typeface="Times New Roman"/>
                <a:cs typeface="Times New Roman"/>
              </a:defRPr>
            </a:pPr>
            <a:endParaRPr lang="cs-CZ"/>
          </a:p>
        </c:txPr>
      </c:legendEntry>
      <c:legendEntry>
        <c:idx val="1"/>
        <c:txPr>
          <a:bodyPr/>
          <a:lstStyle/>
          <a:p>
            <a:pPr>
              <a:defRPr lang="cs-CZ" sz="1000" b="1" i="0" u="none" strike="noStrike" kern="1200" baseline="0">
                <a:solidFill>
                  <a:srgbClr val="000000"/>
                </a:solidFill>
                <a:latin typeface="Times New Roman"/>
                <a:ea typeface="Times New Roman"/>
                <a:cs typeface="Times New Roman"/>
              </a:defRPr>
            </a:pPr>
            <a:endParaRPr lang="cs-CZ"/>
          </a:p>
        </c:txPr>
      </c:legendEntry>
      <c:layout>
        <c:manualLayout>
          <c:xMode val="edge"/>
          <c:yMode val="edge"/>
          <c:x val="0.31305922180121043"/>
          <c:y val="0.90111391076115488"/>
          <c:w val="0.5062615563036732"/>
          <c:h val="8.000034995625549E-2"/>
        </c:manualLayout>
      </c:layout>
      <c:overlay val="0"/>
      <c:spPr>
        <a:solidFill>
          <a:srgbClr val="FFFFFF"/>
        </a:solidFill>
        <a:ln w="3175">
          <a:solidFill>
            <a:srgbClr val="000000"/>
          </a:solidFill>
          <a:prstDash val="solid"/>
        </a:ln>
      </c:spPr>
      <c:txPr>
        <a:bodyPr/>
        <a:lstStyle/>
        <a:p>
          <a:pPr>
            <a:defRPr sz="595" b="0" i="0" u="none" strike="noStrike" baseline="0">
              <a:solidFill>
                <a:srgbClr val="000000"/>
              </a:solidFill>
              <a:latin typeface="Times New Roman"/>
              <a:ea typeface="Times New Roman"/>
              <a:cs typeface="Times New Roman"/>
            </a:defRPr>
          </a:pPr>
          <a:endParaRPr lang="cs-CZ"/>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1200" b="0" i="0" u="none" strike="noStrike" baseline="0">
          <a:solidFill>
            <a:srgbClr val="000000"/>
          </a:solidFill>
          <a:latin typeface="Times New Roman"/>
          <a:ea typeface="Times New Roman"/>
          <a:cs typeface="Times New Roman"/>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cs-CZ"/>
              <a:t>Rozdíly daňových příjmů  v roce 2018 proti roku 2017</a:t>
            </a:r>
          </a:p>
        </c:rich>
      </c:tx>
      <c:layout>
        <c:manualLayout>
          <c:xMode val="edge"/>
          <c:yMode val="edge"/>
          <c:x val="0.12432451348986781"/>
          <c:y val="1.8796992481203006E-2"/>
        </c:manualLayout>
      </c:layout>
      <c:overlay val="0"/>
      <c:spPr>
        <a:noFill/>
        <a:ln w="25400">
          <a:noFill/>
        </a:ln>
      </c:spPr>
    </c:title>
    <c:autoTitleDeleted val="0"/>
    <c:plotArea>
      <c:layout>
        <c:manualLayout>
          <c:layoutTarget val="inner"/>
          <c:xMode val="edge"/>
          <c:yMode val="edge"/>
          <c:x val="0.1027028918682462"/>
          <c:y val="0.14661654135338345"/>
          <c:w val="0.8180194573822096"/>
          <c:h val="0.69548872180451127"/>
        </c:manualLayout>
      </c:layout>
      <c:barChart>
        <c:barDir val="col"/>
        <c:grouping val="clustered"/>
        <c:varyColors val="0"/>
        <c:ser>
          <c:idx val="0"/>
          <c:order val="0"/>
          <c:tx>
            <c:strRef>
              <c:f>'2018'!$A$42</c:f>
              <c:strCache>
                <c:ptCount val="1"/>
                <c:pt idx="0">
                  <c:v>měsíční přebytek</c:v>
                </c:pt>
              </c:strCache>
            </c:strRef>
          </c:tx>
          <c:spPr>
            <a:solidFill>
              <a:srgbClr val="8080FF"/>
            </a:solidFill>
            <a:ln w="12700">
              <a:solidFill>
                <a:srgbClr val="000000"/>
              </a:solidFill>
              <a:prstDash val="solid"/>
            </a:ln>
          </c:spPr>
          <c:invertIfNegative val="0"/>
          <c:val>
            <c:numRef>
              <c:f>'2018'!$B$42:$M$42</c:f>
              <c:numCache>
                <c:formatCode>#,##0</c:formatCode>
                <c:ptCount val="12"/>
                <c:pt idx="0">
                  <c:v>455.35515000000032</c:v>
                </c:pt>
                <c:pt idx="1">
                  <c:v>958.94912999999997</c:v>
                </c:pt>
                <c:pt idx="2">
                  <c:v>830.08862000000045</c:v>
                </c:pt>
                <c:pt idx="3">
                  <c:v>622.01140530000112</c:v>
                </c:pt>
                <c:pt idx="4">
                  <c:v>448.29575999999906</c:v>
                </c:pt>
                <c:pt idx="5">
                  <c:v>1029.4873100000041</c:v>
                </c:pt>
                <c:pt idx="6">
                  <c:v>665.04438999999729</c:v>
                </c:pt>
                <c:pt idx="7">
                  <c:v>989.25784999999814</c:v>
                </c:pt>
                <c:pt idx="8">
                  <c:v>-182.72990000000209</c:v>
                </c:pt>
                <c:pt idx="9">
                  <c:v>1135.1590899999992</c:v>
                </c:pt>
                <c:pt idx="10">
                  <c:v>802.06640999999672</c:v>
                </c:pt>
                <c:pt idx="11">
                  <c:v>491.94840000000841</c:v>
                </c:pt>
              </c:numCache>
            </c:numRef>
          </c:val>
        </c:ser>
        <c:ser>
          <c:idx val="1"/>
          <c:order val="1"/>
          <c:tx>
            <c:strRef>
              <c:f>'2018'!$A$43</c:f>
              <c:strCache>
                <c:ptCount val="1"/>
                <c:pt idx="0">
                  <c:v>roční přebytek</c:v>
                </c:pt>
              </c:strCache>
            </c:strRef>
          </c:tx>
          <c:spPr>
            <a:solidFill>
              <a:srgbClr val="993366"/>
            </a:solidFill>
            <a:ln w="12700">
              <a:solidFill>
                <a:srgbClr val="000000"/>
              </a:solidFill>
              <a:prstDash val="solid"/>
            </a:ln>
          </c:spPr>
          <c:invertIfNegative val="0"/>
          <c:dLbls>
            <c:dLbl>
              <c:idx val="1"/>
              <c:layout>
                <c:manualLayout>
                  <c:x val="1.4314335277880072E-2"/>
                  <c:y val="-7.6557535571210623E-3"/>
                </c:manualLayout>
              </c:layout>
              <c:dLblPos val="outEnd"/>
              <c:showLegendKey val="0"/>
              <c:showVal val="1"/>
              <c:showCatName val="0"/>
              <c:showSerName val="0"/>
              <c:showPercent val="0"/>
              <c:showBubbleSize val="0"/>
            </c:dLbl>
            <c:dLbl>
              <c:idx val="3"/>
              <c:layout>
                <c:manualLayout>
                  <c:x val="1.931724185120438E-2"/>
                  <c:y val="-3.1998105499970467E-2"/>
                </c:manualLayout>
              </c:layout>
              <c:dLblPos val="outEnd"/>
              <c:showLegendKey val="0"/>
              <c:showVal val="1"/>
              <c:showCatName val="0"/>
              <c:showSerName val="0"/>
              <c:showPercent val="0"/>
              <c:showBubbleSize val="0"/>
            </c:dLbl>
            <c:dLbl>
              <c:idx val="6"/>
              <c:layout>
                <c:manualLayout>
                  <c:x val="8.806591319434471E-3"/>
                  <c:y val="2.1553884711779499E-2"/>
                </c:manualLayout>
              </c:layout>
              <c:dLblPos val="outEnd"/>
              <c:showLegendKey val="0"/>
              <c:showVal val="1"/>
              <c:showCatName val="0"/>
              <c:showSerName val="0"/>
              <c:showPercent val="0"/>
              <c:showBubbleSize val="0"/>
            </c:dLbl>
            <c:dLbl>
              <c:idx val="7"/>
              <c:layout>
                <c:manualLayout>
                  <c:x val="-1.7039123208650296E-3"/>
                  <c:y val="2.1553884711779499E-2"/>
                </c:manualLayout>
              </c:layout>
              <c:dLblPos val="outEnd"/>
              <c:showLegendKey val="0"/>
              <c:showVal val="1"/>
              <c:showCatName val="0"/>
              <c:showSerName val="0"/>
              <c:showPercent val="0"/>
              <c:showBubbleSize val="0"/>
            </c:dLbl>
            <c:dLbl>
              <c:idx val="9"/>
              <c:layout>
                <c:manualLayout>
                  <c:x val="2.500390153933549E-3"/>
                  <c:y val="-3.5079825548122276E-3"/>
                </c:manualLayout>
              </c:layout>
              <c:dLblPos val="outEnd"/>
              <c:showLegendKey val="0"/>
              <c:showVal val="1"/>
              <c:showCatName val="0"/>
              <c:showSerName val="0"/>
              <c:showPercent val="0"/>
              <c:showBubbleSize val="0"/>
            </c:dLbl>
            <c:dLbl>
              <c:idx val="10"/>
              <c:layout>
                <c:manualLayout>
                  <c:x val="-8.0300773214159041E-4"/>
                  <c:y val="6.5162907268170424E-3"/>
                </c:manualLayout>
              </c:layout>
              <c:dLblPos val="outEnd"/>
              <c:showLegendKey val="0"/>
              <c:showVal val="1"/>
              <c:showCatName val="0"/>
              <c:showSerName val="0"/>
              <c:showPercent val="0"/>
              <c:showBubbleSize val="0"/>
            </c:dLbl>
            <c:dLbl>
              <c:idx val="11"/>
              <c:layout>
                <c:manualLayout>
                  <c:x val="3.1010023953318374E-3"/>
                  <c:y val="2.1553884711779499E-2"/>
                </c:manualLayout>
              </c:layout>
              <c:dLblPos val="outEnd"/>
              <c:showLegendKey val="0"/>
              <c:showVal val="1"/>
              <c:showCatName val="0"/>
              <c:showSerName val="0"/>
              <c:showPercent val="0"/>
              <c:showBubbleSize val="0"/>
            </c:dLbl>
            <c:numFmt formatCode="0" sourceLinked="0"/>
            <c:spPr>
              <a:noFill/>
              <a:ln w="25400">
                <a:noFill/>
              </a:ln>
            </c:spPr>
            <c:txPr>
              <a:bodyPr/>
              <a:lstStyle/>
              <a:p>
                <a:pPr algn="ctr" rtl="1">
                  <a:defRPr sz="800" b="1" i="0" u="none" strike="noStrike" baseline="0">
                    <a:solidFill>
                      <a:srgbClr val="000000"/>
                    </a:solidFill>
                    <a:latin typeface="Times New Roman"/>
                    <a:ea typeface="Times New Roman"/>
                    <a:cs typeface="Times New Roman"/>
                  </a:defRPr>
                </a:pPr>
                <a:endParaRPr lang="cs-CZ"/>
              </a:p>
            </c:txPr>
            <c:showLegendKey val="0"/>
            <c:showVal val="1"/>
            <c:showCatName val="0"/>
            <c:showSerName val="0"/>
            <c:showPercent val="0"/>
            <c:showBubbleSize val="0"/>
            <c:showLeaderLines val="0"/>
          </c:dLbls>
          <c:val>
            <c:numRef>
              <c:f>'2018'!$B$43:$M$43</c:f>
              <c:numCache>
                <c:formatCode>#,##0</c:formatCode>
                <c:ptCount val="12"/>
                <c:pt idx="0">
                  <c:v>455.35515000000032</c:v>
                </c:pt>
                <c:pt idx="1">
                  <c:v>1414.3042800000003</c:v>
                </c:pt>
                <c:pt idx="2">
                  <c:v>2244.3929000000026</c:v>
                </c:pt>
                <c:pt idx="3">
                  <c:v>2866.4043052999987</c:v>
                </c:pt>
                <c:pt idx="4">
                  <c:v>3314.7000652999959</c:v>
                </c:pt>
                <c:pt idx="5">
                  <c:v>4344.1873753000036</c:v>
                </c:pt>
                <c:pt idx="6">
                  <c:v>5009.2317652999991</c:v>
                </c:pt>
                <c:pt idx="7">
                  <c:v>5998.4896153000009</c:v>
                </c:pt>
                <c:pt idx="8">
                  <c:v>5815.7597152999879</c:v>
                </c:pt>
                <c:pt idx="9">
                  <c:v>6950.9188052999889</c:v>
                </c:pt>
                <c:pt idx="10">
                  <c:v>7752.9852152999956</c:v>
                </c:pt>
                <c:pt idx="11">
                  <c:v>8244.9336152999895</c:v>
                </c:pt>
              </c:numCache>
            </c:numRef>
          </c:val>
        </c:ser>
        <c:dLbls>
          <c:showLegendKey val="0"/>
          <c:showVal val="0"/>
          <c:showCatName val="0"/>
          <c:showSerName val="0"/>
          <c:showPercent val="0"/>
          <c:showBubbleSize val="0"/>
        </c:dLbls>
        <c:gapWidth val="100"/>
        <c:axId val="146459648"/>
        <c:axId val="146567936"/>
      </c:barChart>
      <c:catAx>
        <c:axId val="1464596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6567936"/>
        <c:crosses val="autoZero"/>
        <c:auto val="0"/>
        <c:lblAlgn val="ctr"/>
        <c:lblOffset val="100"/>
        <c:tickLblSkip val="1"/>
        <c:tickMarkSkip val="1"/>
        <c:noMultiLvlLbl val="0"/>
      </c:catAx>
      <c:valAx>
        <c:axId val="146567936"/>
        <c:scaling>
          <c:orientation val="minMax"/>
          <c:min val="-2000"/>
        </c:scaling>
        <c:delete val="0"/>
        <c:axPos val="l"/>
        <c:title>
          <c:tx>
            <c:rich>
              <a:bodyPr/>
              <a:lstStyle/>
              <a:p>
                <a:pPr>
                  <a:defRPr sz="1000" b="1" i="0" u="none" strike="noStrike" baseline="0">
                    <a:solidFill>
                      <a:srgbClr val="000000"/>
                    </a:solidFill>
                    <a:latin typeface="Arial"/>
                    <a:ea typeface="Arial"/>
                    <a:cs typeface="Arial"/>
                  </a:defRPr>
                </a:pPr>
                <a:r>
                  <a:rPr lang="cs-CZ"/>
                  <a:t>tis.Kč</a:t>
                </a:r>
              </a:p>
            </c:rich>
          </c:tx>
          <c:layout>
            <c:manualLayout>
              <c:xMode val="edge"/>
              <c:yMode val="edge"/>
              <c:x val="9.0090090090090089E-3"/>
              <c:y val="0.43984962406015038"/>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cs-CZ"/>
          </a:p>
        </c:txPr>
        <c:crossAx val="146459648"/>
        <c:crosses val="autoZero"/>
        <c:crossBetween val="between"/>
        <c:majorUnit val="2000"/>
      </c:valAx>
      <c:spPr>
        <a:solidFill>
          <a:srgbClr val="CCFFCC"/>
        </a:solidFill>
        <a:ln w="12700">
          <a:solidFill>
            <a:srgbClr val="FFFFFF"/>
          </a:solidFill>
          <a:prstDash val="solid"/>
        </a:ln>
      </c:spPr>
    </c:plotArea>
    <c:legend>
      <c:legendPos val="r"/>
      <c:legendEntry>
        <c:idx val="0"/>
        <c:txPr>
          <a:bodyPr/>
          <a:lstStyle/>
          <a:p>
            <a:pPr>
              <a:defRPr lang="cs-CZ" sz="1000" b="1" i="0" u="none" strike="noStrike" kern="1200" baseline="0">
                <a:solidFill>
                  <a:srgbClr val="000000"/>
                </a:solidFill>
                <a:latin typeface="Times New Roman"/>
                <a:ea typeface="Times New Roman"/>
                <a:cs typeface="Times New Roman"/>
              </a:defRPr>
            </a:pPr>
            <a:endParaRPr lang="cs-CZ"/>
          </a:p>
        </c:txPr>
      </c:legendEntry>
      <c:legendEntry>
        <c:idx val="1"/>
        <c:txPr>
          <a:bodyPr/>
          <a:lstStyle/>
          <a:p>
            <a:pPr>
              <a:defRPr lang="cs-CZ" sz="1000" b="1" i="0" u="none" strike="noStrike" kern="1200" baseline="0">
                <a:solidFill>
                  <a:srgbClr val="000000"/>
                </a:solidFill>
                <a:latin typeface="Times New Roman"/>
                <a:ea typeface="Times New Roman"/>
                <a:cs typeface="Times New Roman"/>
              </a:defRPr>
            </a:pPr>
            <a:endParaRPr lang="cs-CZ"/>
          </a:p>
        </c:txPr>
      </c:legendEntry>
      <c:layout>
        <c:manualLayout>
          <c:xMode val="edge"/>
          <c:yMode val="edge"/>
          <c:x val="0.28648705398311697"/>
          <c:y val="0.87092731829573933"/>
          <c:w val="0.53333427916105092"/>
          <c:h val="0.10526315789473684"/>
        </c:manualLayout>
      </c:layout>
      <c:overlay val="0"/>
      <c:spPr>
        <a:solidFill>
          <a:srgbClr val="FFFFFF"/>
        </a:solidFill>
        <a:ln w="3175">
          <a:solidFill>
            <a:srgbClr val="000000"/>
          </a:solidFill>
          <a:prstDash val="solid"/>
        </a:ln>
      </c:spPr>
      <c:txPr>
        <a:bodyPr/>
        <a:lstStyle/>
        <a:p>
          <a:pPr>
            <a:defRPr lang="cs-CZ" sz="1000" b="1" i="0" u="none" strike="noStrike" kern="1200" baseline="0">
              <a:solidFill>
                <a:srgbClr val="000000"/>
              </a:solidFill>
              <a:latin typeface="Times New Roman"/>
              <a:ea typeface="Times New Roman"/>
              <a:cs typeface="Times New Roman"/>
            </a:defRPr>
          </a:pPr>
          <a:endParaRPr lang="cs-CZ"/>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1200" b="0" i="0" u="none" strike="noStrike" baseline="0">
          <a:solidFill>
            <a:srgbClr val="000000"/>
          </a:solidFill>
          <a:latin typeface="Times New Roman"/>
          <a:ea typeface="Times New Roman"/>
          <a:cs typeface="Times New Roman"/>
        </a:defRPr>
      </a:pPr>
      <a:endParaRPr lang="cs-CZ"/>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0.95032</cdr:x>
      <cdr:y>0.08801</cdr:y>
    </cdr:from>
    <cdr:to>
      <cdr:x>0.99081</cdr:x>
      <cdr:y>0.20775</cdr:y>
    </cdr:to>
    <cdr:sp macro="" textlink="" fLocksText="0">
      <cdr:nvSpPr>
        <cdr:cNvPr id="171009" name="text 1"/>
        <cdr:cNvSpPr txBox="1">
          <a:spLocks xmlns:a="http://schemas.openxmlformats.org/drawingml/2006/main" noChangeArrowheads="1"/>
        </cdr:cNvSpPr>
      </cdr:nvSpPr>
      <cdr:spPr bwMode="auto">
        <a:xfrm xmlns:a="http://schemas.openxmlformats.org/drawingml/2006/main">
          <a:off x="4927338" y="374560"/>
          <a:ext cx="209812" cy="5052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0.51955</cdr:y>
    </cdr:from>
    <cdr:to>
      <cdr:x>0.52871</cdr:x>
      <cdr:y>0.56451</cdr:y>
    </cdr:to>
    <cdr:sp macro="" textlink="">
      <cdr:nvSpPr>
        <cdr:cNvPr id="171010" name="Text Box 2"/>
        <cdr:cNvSpPr txBox="1">
          <a:spLocks xmlns:a="http://schemas.openxmlformats.org/drawingml/2006/main" noChangeArrowheads="1"/>
        </cdr:cNvSpPr>
      </cdr:nvSpPr>
      <cdr:spPr bwMode="auto">
        <a:xfrm xmlns:a="http://schemas.openxmlformats.org/drawingml/2006/main">
          <a:off x="2593975" y="2195449"/>
          <a:ext cx="148776" cy="1897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0.95032</cdr:x>
      <cdr:y>0.08801</cdr:y>
    </cdr:from>
    <cdr:to>
      <cdr:x>0.99081</cdr:x>
      <cdr:y>0.20775</cdr:y>
    </cdr:to>
    <cdr:sp macro="" textlink="" fLocksText="0">
      <cdr:nvSpPr>
        <cdr:cNvPr id="2" name="text 1"/>
        <cdr:cNvSpPr txBox="1">
          <a:spLocks xmlns:a="http://schemas.openxmlformats.org/drawingml/2006/main" noChangeArrowheads="1"/>
        </cdr:cNvSpPr>
      </cdr:nvSpPr>
      <cdr:spPr bwMode="auto">
        <a:xfrm xmlns:a="http://schemas.openxmlformats.org/drawingml/2006/main">
          <a:off x="4927338" y="374560"/>
          <a:ext cx="209812" cy="5052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0.51955</cdr:y>
    </cdr:from>
    <cdr:to>
      <cdr:x>0.52871</cdr:x>
      <cdr:y>0.56451</cdr:y>
    </cdr:to>
    <cdr:sp macro="" textlink="">
      <cdr:nvSpPr>
        <cdr:cNvPr id="3" name="Text Box 2"/>
        <cdr:cNvSpPr txBox="1">
          <a:spLocks xmlns:a="http://schemas.openxmlformats.org/drawingml/2006/main" noChangeArrowheads="1"/>
        </cdr:cNvSpPr>
      </cdr:nvSpPr>
      <cdr:spPr bwMode="auto">
        <a:xfrm xmlns:a="http://schemas.openxmlformats.org/drawingml/2006/main">
          <a:off x="2593975" y="2195449"/>
          <a:ext cx="148776" cy="1897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0.95032</cdr:x>
      <cdr:y>0.08777</cdr:y>
    </cdr:from>
    <cdr:to>
      <cdr:x>0.99081</cdr:x>
      <cdr:y>0.20751</cdr:y>
    </cdr:to>
    <cdr:sp macro="" textlink="" fLocksText="0">
      <cdr:nvSpPr>
        <cdr:cNvPr id="2049" name="text 1"/>
        <cdr:cNvSpPr txBox="1">
          <a:spLocks xmlns:a="http://schemas.openxmlformats.org/drawingml/2006/main" noChangeArrowheads="1"/>
        </cdr:cNvSpPr>
      </cdr:nvSpPr>
      <cdr:spPr bwMode="auto">
        <a:xfrm xmlns:a="http://schemas.openxmlformats.org/drawingml/2006/main">
          <a:off x="4927338" y="373528"/>
          <a:ext cx="209812" cy="50523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0.49927</cdr:y>
    </cdr:from>
    <cdr:to>
      <cdr:x>0.52871</cdr:x>
      <cdr:y>0.54227</cdr:y>
    </cdr:to>
    <cdr:sp macro="" textlink="">
      <cdr:nvSpPr>
        <cdr:cNvPr id="2050" name="Text Box 2"/>
        <cdr:cNvSpPr txBox="1">
          <a:spLocks xmlns:a="http://schemas.openxmlformats.org/drawingml/2006/main" noChangeArrowheads="1"/>
        </cdr:cNvSpPr>
      </cdr:nvSpPr>
      <cdr:spPr bwMode="auto">
        <a:xfrm xmlns:a="http://schemas.openxmlformats.org/drawingml/2006/main">
          <a:off x="2593975" y="2109869"/>
          <a:ext cx="148776" cy="18147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0.95032</cdr:x>
      <cdr:y>0.08801</cdr:y>
    </cdr:from>
    <cdr:to>
      <cdr:x>0.99081</cdr:x>
      <cdr:y>0.20775</cdr:y>
    </cdr:to>
    <cdr:sp macro="" textlink="" fLocksText="0">
      <cdr:nvSpPr>
        <cdr:cNvPr id="4" name="text 1"/>
        <cdr:cNvSpPr txBox="1">
          <a:spLocks xmlns:a="http://schemas.openxmlformats.org/drawingml/2006/main" noChangeArrowheads="1"/>
        </cdr:cNvSpPr>
      </cdr:nvSpPr>
      <cdr:spPr bwMode="auto">
        <a:xfrm xmlns:a="http://schemas.openxmlformats.org/drawingml/2006/main">
          <a:off x="4927338" y="374560"/>
          <a:ext cx="209812" cy="5052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0.51955</cdr:y>
    </cdr:from>
    <cdr:to>
      <cdr:x>0.52871</cdr:x>
      <cdr:y>0.56451</cdr:y>
    </cdr:to>
    <cdr:sp macro="" textlink="">
      <cdr:nvSpPr>
        <cdr:cNvPr id="5" name="Text Box 2"/>
        <cdr:cNvSpPr txBox="1">
          <a:spLocks xmlns:a="http://schemas.openxmlformats.org/drawingml/2006/main" noChangeArrowheads="1"/>
        </cdr:cNvSpPr>
      </cdr:nvSpPr>
      <cdr:spPr bwMode="auto">
        <a:xfrm xmlns:a="http://schemas.openxmlformats.org/drawingml/2006/main">
          <a:off x="2593975" y="2195449"/>
          <a:ext cx="148776" cy="1897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0.95032</cdr:x>
      <cdr:y>0.08801</cdr:y>
    </cdr:from>
    <cdr:to>
      <cdr:x>0.99081</cdr:x>
      <cdr:y>0.20775</cdr:y>
    </cdr:to>
    <cdr:sp macro="" textlink="" fLocksText="0">
      <cdr:nvSpPr>
        <cdr:cNvPr id="157697" name="text 1"/>
        <cdr:cNvSpPr txBox="1">
          <a:spLocks xmlns:a="http://schemas.openxmlformats.org/drawingml/2006/main" noChangeArrowheads="1"/>
        </cdr:cNvSpPr>
      </cdr:nvSpPr>
      <cdr:spPr bwMode="auto">
        <a:xfrm xmlns:a="http://schemas.openxmlformats.org/drawingml/2006/main">
          <a:off x="4927338" y="374560"/>
          <a:ext cx="209812" cy="5052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0.51955</cdr:y>
    </cdr:from>
    <cdr:to>
      <cdr:x>0.52871</cdr:x>
      <cdr:y>0.56451</cdr:y>
    </cdr:to>
    <cdr:sp macro="" textlink="">
      <cdr:nvSpPr>
        <cdr:cNvPr id="157698" name="Text Box 2"/>
        <cdr:cNvSpPr txBox="1">
          <a:spLocks xmlns:a="http://schemas.openxmlformats.org/drawingml/2006/main" noChangeArrowheads="1"/>
        </cdr:cNvSpPr>
      </cdr:nvSpPr>
      <cdr:spPr bwMode="auto">
        <a:xfrm xmlns:a="http://schemas.openxmlformats.org/drawingml/2006/main">
          <a:off x="2593975" y="2195449"/>
          <a:ext cx="148776" cy="1897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0.95032</cdr:x>
      <cdr:y>0.08801</cdr:y>
    </cdr:from>
    <cdr:to>
      <cdr:x>0.99081</cdr:x>
      <cdr:y>0.20775</cdr:y>
    </cdr:to>
    <cdr:sp macro="" textlink="" fLocksText="0">
      <cdr:nvSpPr>
        <cdr:cNvPr id="6" name="text 1"/>
        <cdr:cNvSpPr txBox="1">
          <a:spLocks xmlns:a="http://schemas.openxmlformats.org/drawingml/2006/main" noChangeArrowheads="1"/>
        </cdr:cNvSpPr>
      </cdr:nvSpPr>
      <cdr:spPr bwMode="auto">
        <a:xfrm xmlns:a="http://schemas.openxmlformats.org/drawingml/2006/main">
          <a:off x="4915126" y="370527"/>
          <a:ext cx="209418" cy="50411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0"/>
              </a:solidFill>
            </a14:hiddenFill>
          </a:ext>
          <a:ext uri="{91240B29-F687-4F45-9708-019B960494DF}">
            <a14:hiddenLine xmlns:a14="http://schemas.microsoft.com/office/drawing/2010/main" w="9525">
              <a:solidFill>
                <a:srgbClr xmlns:mc="http://schemas.openxmlformats.org/markup-compatibility/2006" val="000000" mc:Ignorable="a14" a14:legacySpreadsheetColorIndex="0"/>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cs-CZ" sz="1000" b="1" i="0" u="none" strike="noStrike" baseline="0">
              <a:solidFill>
                <a:srgbClr val="000000"/>
              </a:solidFill>
              <a:latin typeface="Arial"/>
              <a:cs typeface="Arial"/>
            </a:rPr>
            <a:t>tis. Kč</a:t>
          </a:r>
          <a:endParaRPr lang="cs-CZ"/>
        </a:p>
      </cdr:txBody>
    </cdr:sp>
  </cdr:relSizeAnchor>
  <cdr:relSizeAnchor xmlns:cdr="http://schemas.openxmlformats.org/drawingml/2006/chartDrawing">
    <cdr:from>
      <cdr:x>0.5</cdr:x>
      <cdr:y>0.51955</cdr:y>
    </cdr:from>
    <cdr:to>
      <cdr:x>0.52871</cdr:x>
      <cdr:y>0.56451</cdr:y>
    </cdr:to>
    <cdr:sp macro="" textlink="">
      <cdr:nvSpPr>
        <cdr:cNvPr id="7" name="Text Box 2"/>
        <cdr:cNvSpPr txBox="1">
          <a:spLocks xmlns:a="http://schemas.openxmlformats.org/drawingml/2006/main" noChangeArrowheads="1"/>
        </cdr:cNvSpPr>
      </cdr:nvSpPr>
      <cdr:spPr bwMode="auto">
        <a:xfrm xmlns:a="http://schemas.openxmlformats.org/drawingml/2006/main">
          <a:off x="2593975" y="2195449"/>
          <a:ext cx="148776" cy="1897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cs-CZ"/>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1665</Words>
  <Characters>9825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Finance</vt:lpstr>
    </vt:vector>
  </TitlesOfParts>
  <Company>Jilemnice</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dc:title>
  <dc:creator>Kynčlová</dc:creator>
  <cp:lastModifiedBy>Město Jilemnice</cp:lastModifiedBy>
  <cp:revision>12</cp:revision>
  <cp:lastPrinted>2019-02-04T14:04:00Z</cp:lastPrinted>
  <dcterms:created xsi:type="dcterms:W3CDTF">2019-01-30T15:36:00Z</dcterms:created>
  <dcterms:modified xsi:type="dcterms:W3CDTF">2019-02-19T10:24:00Z</dcterms:modified>
</cp:coreProperties>
</file>