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04" w:rsidRPr="006C0DFD" w:rsidRDefault="00ED03D1" w:rsidP="00B72C5A">
      <w:pPr>
        <w:pStyle w:val="Nadpis1"/>
        <w:ind w:left="-142" w:right="-567" w:firstLine="142"/>
      </w:pPr>
      <w:r>
        <w:t>Schválený z</w:t>
      </w:r>
      <w:r w:rsidRPr="006C0DFD">
        <w:t>ávěrečn</w:t>
      </w:r>
      <w:r>
        <w:t>ý</w:t>
      </w:r>
      <w:r w:rsidRPr="006C0DFD">
        <w:t xml:space="preserve"> úč</w:t>
      </w:r>
      <w:r>
        <w:t>et</w:t>
      </w:r>
      <w:r w:rsidRPr="006C0DFD">
        <w:t xml:space="preserve"> </w:t>
      </w:r>
      <w:r w:rsidR="003B7FD9" w:rsidRPr="006C0DFD">
        <w:t>m</w:t>
      </w:r>
      <w:r w:rsidR="00131904" w:rsidRPr="006C0DFD">
        <w:t>ěsta Jilemnice za rok 20</w:t>
      </w:r>
      <w:r w:rsidR="00F96FE4" w:rsidRPr="006C0DFD">
        <w:t>1</w:t>
      </w:r>
      <w:r w:rsidR="00696131">
        <w:t>7</w:t>
      </w:r>
    </w:p>
    <w:p w:rsidR="005643D0" w:rsidRPr="005643D0" w:rsidRDefault="005643D0" w:rsidP="005643D0"/>
    <w:p w:rsidR="00131904" w:rsidRDefault="00131904">
      <w:pPr>
        <w:rPr>
          <w:b/>
          <w:sz w:val="24"/>
        </w:rPr>
      </w:pPr>
      <w:r>
        <w:rPr>
          <w:b/>
          <w:sz w:val="24"/>
        </w:rPr>
        <w:t>(podle § 17 zákona č. 250/2000 Sb. o rozpočtových pravidlech územních rozpočtů)</w:t>
      </w:r>
    </w:p>
    <w:p w:rsidR="00131904" w:rsidRDefault="00131904">
      <w:pPr>
        <w:rPr>
          <w:b/>
          <w:sz w:val="24"/>
        </w:rPr>
      </w:pPr>
    </w:p>
    <w:p w:rsidR="00DA60EB" w:rsidRPr="00DA60EB" w:rsidRDefault="00131904" w:rsidP="00DA60E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Údaje o plnění příjmů a výdajů za rok </w:t>
      </w:r>
      <w:r w:rsidR="00EA311A">
        <w:rPr>
          <w:b/>
          <w:sz w:val="24"/>
        </w:rPr>
        <w:t>201</w:t>
      </w:r>
      <w:r w:rsidR="00696131">
        <w:rPr>
          <w:b/>
          <w:sz w:val="24"/>
        </w:rPr>
        <w:t>7</w:t>
      </w:r>
      <w:r w:rsidR="00665DB7">
        <w:rPr>
          <w:b/>
          <w:sz w:val="24"/>
        </w:rPr>
        <w:t xml:space="preserve"> (údaje v tis. Kč)</w:t>
      </w:r>
    </w:p>
    <w:p w:rsidR="00131904" w:rsidRPr="00AF3681" w:rsidRDefault="00131904">
      <w:pPr>
        <w:rPr>
          <w:sz w:val="22"/>
          <w:szCs w:val="22"/>
        </w:rPr>
      </w:pPr>
    </w:p>
    <w:tbl>
      <w:tblPr>
        <w:tblW w:w="981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1040"/>
        <w:gridCol w:w="840"/>
        <w:gridCol w:w="1060"/>
        <w:gridCol w:w="550"/>
        <w:gridCol w:w="1188"/>
        <w:gridCol w:w="957"/>
        <w:gridCol w:w="1620"/>
      </w:tblGrid>
      <w:tr w:rsidR="00696131" w:rsidTr="00DA3005">
        <w:trPr>
          <w:trHeight w:val="255"/>
        </w:trPr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Rozpočet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Změna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Upravený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%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Plnění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%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rozdíl plnění 2017</w:t>
            </w:r>
          </w:p>
        </w:tc>
      </w:tr>
      <w:tr w:rsidR="00696131" w:rsidTr="00DA3005"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rozpočet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31.12.2017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k rozpočtu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proti rozpočtu 2017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Třída 1 - Daňové příjmy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80 034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80 034,000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55%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88 972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111,2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8 938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Třída 2 - Nedaňové příjmy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25 389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25 423,257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18%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25 427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Třída 3 - Kapitálové příjmy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485,000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1 526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314,5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1 041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Třída 4 - Přijaté dotace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38 591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28 814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67 404,792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27%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67 462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100,1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57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Příjmy celkem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144 479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28 868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173 347,049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183 387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105,8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10 040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Třída 5 - Běžné výdaje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125 246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10 981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136 226,567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58%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124 946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-11 281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Třída 6 - Kapitálové výdaje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91 312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17 887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109 199,482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42%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73 404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67,2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-35 795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Výdaje celkem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216 558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28 868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245 426,049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198 350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80,8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-47 076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Saldo: Příjmy - výdaje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-72 079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-72 079,000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-14 963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20,8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57 116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Třída 8 - financování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Splátky úvěrů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Zůstatek z roku 2016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72 079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72 079,000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72 079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696131" w:rsidTr="00DA3005"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</w:tbl>
    <w:p w:rsidR="008158D4" w:rsidRDefault="008158D4">
      <w:pPr>
        <w:pStyle w:val="Zkladntext"/>
        <w:rPr>
          <w:sz w:val="20"/>
        </w:rPr>
      </w:pPr>
    </w:p>
    <w:p w:rsidR="00131904" w:rsidRDefault="00131904">
      <w:pPr>
        <w:pStyle w:val="Zkladntext"/>
        <w:rPr>
          <w:sz w:val="20"/>
        </w:rPr>
      </w:pPr>
      <w:r>
        <w:rPr>
          <w:sz w:val="20"/>
        </w:rPr>
        <w:t>Podrobné členění dle</w:t>
      </w:r>
      <w:r w:rsidR="00AF3681">
        <w:rPr>
          <w:sz w:val="20"/>
        </w:rPr>
        <w:t xml:space="preserve"> jednotlivých paragrafů a org. </w:t>
      </w:r>
      <w:r>
        <w:rPr>
          <w:sz w:val="20"/>
        </w:rPr>
        <w:t>je uvedeno v</w:t>
      </w:r>
      <w:r w:rsidR="001F170D">
        <w:rPr>
          <w:sz w:val="20"/>
        </w:rPr>
        <w:t> </w:t>
      </w:r>
      <w:r>
        <w:rPr>
          <w:sz w:val="20"/>
        </w:rPr>
        <w:t>příloze</w:t>
      </w:r>
      <w:r w:rsidR="001F170D">
        <w:rPr>
          <w:sz w:val="20"/>
        </w:rPr>
        <w:t>.</w:t>
      </w:r>
    </w:p>
    <w:p w:rsidR="004E3CAB" w:rsidRPr="00276E2A" w:rsidRDefault="004E3CAB" w:rsidP="004E3CAB">
      <w:pPr>
        <w:pStyle w:val="Nzev"/>
        <w:jc w:val="left"/>
        <w:outlineLvl w:val="0"/>
        <w:rPr>
          <w:sz w:val="24"/>
          <w:szCs w:val="24"/>
        </w:rPr>
      </w:pPr>
      <w:r w:rsidRPr="00276E2A">
        <w:rPr>
          <w:sz w:val="24"/>
          <w:szCs w:val="24"/>
        </w:rPr>
        <w:t xml:space="preserve">Hodnotící zpráva o hospodaření města Jilemnice za rok </w:t>
      </w:r>
      <w:r w:rsidR="00DA3005" w:rsidRPr="00276E2A">
        <w:rPr>
          <w:sz w:val="24"/>
          <w:szCs w:val="24"/>
        </w:rPr>
        <w:t>2017</w:t>
      </w:r>
    </w:p>
    <w:p w:rsidR="004E3CAB" w:rsidRPr="00276E2A" w:rsidRDefault="004E3CAB" w:rsidP="004E3CAB">
      <w:pPr>
        <w:outlineLvl w:val="0"/>
        <w:rPr>
          <w:sz w:val="24"/>
          <w:szCs w:val="24"/>
        </w:rPr>
      </w:pPr>
      <w:r w:rsidRPr="00276E2A">
        <w:rPr>
          <w:b/>
          <w:sz w:val="24"/>
          <w:szCs w:val="24"/>
        </w:rPr>
        <w:t>Příjmy:</w:t>
      </w:r>
      <w:r w:rsidRPr="00276E2A">
        <w:rPr>
          <w:sz w:val="24"/>
          <w:szCs w:val="24"/>
        </w:rPr>
        <w:t xml:space="preserve"> </w:t>
      </w:r>
    </w:p>
    <w:p w:rsidR="003B6EAB" w:rsidRPr="00276E2A" w:rsidRDefault="004E3CAB" w:rsidP="00071FD2">
      <w:pPr>
        <w:pStyle w:val="Zkladntext"/>
        <w:ind w:firstLine="357"/>
        <w:jc w:val="both"/>
        <w:rPr>
          <w:szCs w:val="24"/>
        </w:rPr>
      </w:pPr>
      <w:r w:rsidRPr="00276E2A">
        <w:rPr>
          <w:szCs w:val="24"/>
        </w:rPr>
        <w:t>Celkové příjmy města za rok 201</w:t>
      </w:r>
      <w:r w:rsidR="00DA3005" w:rsidRPr="00276E2A">
        <w:rPr>
          <w:szCs w:val="24"/>
        </w:rPr>
        <w:t>7</w:t>
      </w:r>
      <w:r w:rsidRPr="00276E2A">
        <w:rPr>
          <w:szCs w:val="24"/>
        </w:rPr>
        <w:t xml:space="preserve"> dosáhly </w:t>
      </w:r>
      <w:r w:rsidR="00DA3005" w:rsidRPr="00276E2A">
        <w:rPr>
          <w:szCs w:val="24"/>
        </w:rPr>
        <w:t>183.387</w:t>
      </w:r>
      <w:r w:rsidRPr="00276E2A">
        <w:rPr>
          <w:szCs w:val="24"/>
        </w:rPr>
        <w:t xml:space="preserve"> tis. Kč, což odpovídá </w:t>
      </w:r>
      <w:r w:rsidR="00206E45" w:rsidRPr="00276E2A">
        <w:rPr>
          <w:szCs w:val="24"/>
        </w:rPr>
        <w:t>105,</w:t>
      </w:r>
      <w:r w:rsidR="00DA3005" w:rsidRPr="00276E2A">
        <w:rPr>
          <w:szCs w:val="24"/>
        </w:rPr>
        <w:t>8</w:t>
      </w:r>
      <w:r w:rsidRPr="00276E2A">
        <w:rPr>
          <w:szCs w:val="24"/>
        </w:rPr>
        <w:t xml:space="preserve"> </w:t>
      </w:r>
      <w:r w:rsidR="006C11FB" w:rsidRPr="00276E2A">
        <w:rPr>
          <w:szCs w:val="24"/>
        </w:rPr>
        <w:t xml:space="preserve">% upraveného rozpočtu (dále UR). Celkové daňové příjmy dosáhly částky </w:t>
      </w:r>
      <w:r w:rsidR="00DA3005" w:rsidRPr="00276E2A">
        <w:rPr>
          <w:szCs w:val="24"/>
        </w:rPr>
        <w:t>88.972</w:t>
      </w:r>
      <w:r w:rsidR="006C11FB" w:rsidRPr="00276E2A">
        <w:rPr>
          <w:szCs w:val="24"/>
        </w:rPr>
        <w:t xml:space="preserve"> tis. Kč, </w:t>
      </w:r>
      <w:r w:rsidR="00866CF1" w:rsidRPr="00276E2A">
        <w:rPr>
          <w:szCs w:val="24"/>
        </w:rPr>
        <w:t xml:space="preserve">což je o </w:t>
      </w:r>
      <w:r w:rsidR="00DA3005" w:rsidRPr="00276E2A">
        <w:rPr>
          <w:szCs w:val="24"/>
        </w:rPr>
        <w:t>8.938</w:t>
      </w:r>
      <w:r w:rsidR="00915EA2" w:rsidRPr="00276E2A">
        <w:rPr>
          <w:szCs w:val="24"/>
        </w:rPr>
        <w:t xml:space="preserve"> tis.</w:t>
      </w:r>
      <w:r w:rsidR="00866CF1" w:rsidRPr="00276E2A">
        <w:rPr>
          <w:szCs w:val="24"/>
        </w:rPr>
        <w:t xml:space="preserve"> více, </w:t>
      </w:r>
      <w:r w:rsidR="00852ED7" w:rsidRPr="00276E2A">
        <w:rPr>
          <w:szCs w:val="24"/>
        </w:rPr>
        <w:t>bylo plánováno</w:t>
      </w:r>
      <w:r w:rsidR="00E1774E" w:rsidRPr="00276E2A">
        <w:rPr>
          <w:szCs w:val="24"/>
        </w:rPr>
        <w:t>.</w:t>
      </w:r>
      <w:r w:rsidR="007837AD" w:rsidRPr="00276E2A">
        <w:rPr>
          <w:szCs w:val="24"/>
        </w:rPr>
        <w:t xml:space="preserve"> Rozpočet sdílených a výlučných daní počítal s umírněnou částkou </w:t>
      </w:r>
      <w:r w:rsidR="00206E45" w:rsidRPr="00276E2A">
        <w:rPr>
          <w:szCs w:val="24"/>
        </w:rPr>
        <w:t>6</w:t>
      </w:r>
      <w:r w:rsidR="00DA3005" w:rsidRPr="00276E2A">
        <w:rPr>
          <w:szCs w:val="24"/>
        </w:rPr>
        <w:t>4</w:t>
      </w:r>
      <w:r w:rsidR="007837AD" w:rsidRPr="00276E2A">
        <w:rPr>
          <w:szCs w:val="24"/>
        </w:rPr>
        <w:t xml:space="preserve">.000 tis. Kč, ve skutečnosti byly tyto příjmy </w:t>
      </w:r>
      <w:r w:rsidR="00206E45" w:rsidRPr="00276E2A">
        <w:rPr>
          <w:szCs w:val="24"/>
        </w:rPr>
        <w:t>nejvyšší od roku 1993</w:t>
      </w:r>
      <w:r w:rsidR="007837AD" w:rsidRPr="00276E2A">
        <w:rPr>
          <w:szCs w:val="24"/>
        </w:rPr>
        <w:t xml:space="preserve"> a dosáhly částky </w:t>
      </w:r>
      <w:r w:rsidR="00DA3005" w:rsidRPr="00276E2A">
        <w:rPr>
          <w:szCs w:val="24"/>
        </w:rPr>
        <w:t>70.927</w:t>
      </w:r>
      <w:r w:rsidR="007837AD" w:rsidRPr="00276E2A">
        <w:rPr>
          <w:szCs w:val="24"/>
        </w:rPr>
        <w:t xml:space="preserve"> tis. Kč. </w:t>
      </w:r>
      <w:r w:rsidR="00DA3005" w:rsidRPr="00276E2A">
        <w:rPr>
          <w:szCs w:val="24"/>
        </w:rPr>
        <w:t xml:space="preserve">Byl tedy zaznamenán pozitivní vliv růstu celého hospodářství ČR. </w:t>
      </w:r>
      <w:r w:rsidRPr="00276E2A">
        <w:rPr>
          <w:szCs w:val="24"/>
        </w:rPr>
        <w:t xml:space="preserve">Nedaňové příjmy </w:t>
      </w:r>
      <w:r w:rsidR="007837AD" w:rsidRPr="00276E2A">
        <w:rPr>
          <w:szCs w:val="24"/>
        </w:rPr>
        <w:t xml:space="preserve">dosáhly částky </w:t>
      </w:r>
      <w:r w:rsidR="00206E45" w:rsidRPr="00276E2A">
        <w:rPr>
          <w:szCs w:val="24"/>
        </w:rPr>
        <w:t>25.</w:t>
      </w:r>
      <w:r w:rsidR="00DA3005" w:rsidRPr="00276E2A">
        <w:rPr>
          <w:szCs w:val="24"/>
        </w:rPr>
        <w:t>427</w:t>
      </w:r>
      <w:r w:rsidR="007837AD" w:rsidRPr="00276E2A">
        <w:rPr>
          <w:szCs w:val="24"/>
        </w:rPr>
        <w:t xml:space="preserve"> tis. Kč</w:t>
      </w:r>
      <w:r w:rsidR="003B6EAB" w:rsidRPr="00276E2A">
        <w:rPr>
          <w:szCs w:val="24"/>
        </w:rPr>
        <w:t xml:space="preserve"> </w:t>
      </w:r>
      <w:r w:rsidR="007837AD" w:rsidRPr="00276E2A">
        <w:rPr>
          <w:szCs w:val="24"/>
        </w:rPr>
        <w:t>(</w:t>
      </w:r>
      <w:r w:rsidR="00DA3005" w:rsidRPr="00276E2A">
        <w:rPr>
          <w:szCs w:val="24"/>
        </w:rPr>
        <w:t>100,0</w:t>
      </w:r>
      <w:r w:rsidR="007837AD" w:rsidRPr="00276E2A">
        <w:rPr>
          <w:szCs w:val="24"/>
        </w:rPr>
        <w:t>%</w:t>
      </w:r>
      <w:r w:rsidR="00071FD2" w:rsidRPr="00276E2A">
        <w:rPr>
          <w:szCs w:val="24"/>
        </w:rPr>
        <w:t xml:space="preserve"> UR</w:t>
      </w:r>
      <w:r w:rsidR="00206E45" w:rsidRPr="00276E2A">
        <w:rPr>
          <w:szCs w:val="24"/>
        </w:rPr>
        <w:t>). V této oblasti nebyly splněny především naplánova</w:t>
      </w:r>
      <w:r w:rsidR="00DA3005" w:rsidRPr="00276E2A">
        <w:rPr>
          <w:szCs w:val="24"/>
        </w:rPr>
        <w:t>né příjmy bytového hospodářství a příjem ze sankčních plateb, naopak výpadek byl kompenzován prodejem dřeva.</w:t>
      </w:r>
    </w:p>
    <w:p w:rsidR="00957F69" w:rsidRPr="002A5EE0" w:rsidRDefault="00226B9C" w:rsidP="00E1774E">
      <w:pPr>
        <w:pStyle w:val="Zkladntext"/>
        <w:ind w:firstLine="357"/>
        <w:jc w:val="both"/>
        <w:rPr>
          <w:szCs w:val="24"/>
        </w:rPr>
      </w:pPr>
      <w:r w:rsidRPr="00276E2A">
        <w:rPr>
          <w:szCs w:val="24"/>
        </w:rPr>
        <w:t>K</w:t>
      </w:r>
      <w:r w:rsidR="003B6EAB" w:rsidRPr="00276E2A">
        <w:rPr>
          <w:szCs w:val="24"/>
        </w:rPr>
        <w:t xml:space="preserve">apitálové příjmy </w:t>
      </w:r>
      <w:r w:rsidRPr="00276E2A">
        <w:rPr>
          <w:szCs w:val="24"/>
        </w:rPr>
        <w:t>činily i díky prodan</w:t>
      </w:r>
      <w:r w:rsidR="00276E2A" w:rsidRPr="00276E2A">
        <w:rPr>
          <w:szCs w:val="24"/>
        </w:rPr>
        <w:t>ým</w:t>
      </w:r>
      <w:r w:rsidRPr="00276E2A">
        <w:rPr>
          <w:szCs w:val="24"/>
        </w:rPr>
        <w:t xml:space="preserve"> pozemk</w:t>
      </w:r>
      <w:r w:rsidR="00276E2A" w:rsidRPr="00276E2A">
        <w:rPr>
          <w:szCs w:val="24"/>
        </w:rPr>
        <w:t>ům</w:t>
      </w:r>
      <w:r w:rsidRPr="00276E2A">
        <w:rPr>
          <w:szCs w:val="24"/>
        </w:rPr>
        <w:t xml:space="preserve"> </w:t>
      </w:r>
      <w:r w:rsidR="00276E2A" w:rsidRPr="00276E2A">
        <w:rPr>
          <w:szCs w:val="24"/>
        </w:rPr>
        <w:t>1.526</w:t>
      </w:r>
      <w:r w:rsidRPr="00276E2A">
        <w:rPr>
          <w:szCs w:val="24"/>
        </w:rPr>
        <w:t xml:space="preserve"> tis. Kč (</w:t>
      </w:r>
      <w:r w:rsidR="00276E2A" w:rsidRPr="00276E2A">
        <w:rPr>
          <w:szCs w:val="24"/>
        </w:rPr>
        <w:t>314.5</w:t>
      </w:r>
      <w:r w:rsidRPr="00276E2A">
        <w:rPr>
          <w:szCs w:val="24"/>
        </w:rPr>
        <w:t xml:space="preserve">% </w:t>
      </w:r>
      <w:r w:rsidRPr="002A5EE0">
        <w:rPr>
          <w:szCs w:val="24"/>
        </w:rPr>
        <w:t>UR). V roce 201</w:t>
      </w:r>
      <w:r w:rsidR="00276E2A" w:rsidRPr="002A5EE0">
        <w:rPr>
          <w:szCs w:val="24"/>
        </w:rPr>
        <w:t>7</w:t>
      </w:r>
      <w:r w:rsidRPr="002A5EE0">
        <w:rPr>
          <w:szCs w:val="24"/>
        </w:rPr>
        <w:t xml:space="preserve"> </w:t>
      </w:r>
      <w:r w:rsidR="00276E2A" w:rsidRPr="002A5EE0">
        <w:rPr>
          <w:szCs w:val="24"/>
        </w:rPr>
        <w:t>pokračoval nezájem</w:t>
      </w:r>
      <w:r w:rsidRPr="002A5EE0">
        <w:rPr>
          <w:szCs w:val="24"/>
        </w:rPr>
        <w:t xml:space="preserve"> o </w:t>
      </w:r>
      <w:r w:rsidR="00276E2A" w:rsidRPr="002A5EE0">
        <w:rPr>
          <w:szCs w:val="24"/>
        </w:rPr>
        <w:t>koupi bytů daných k privatizaci, nebyl prodán jediný byt.</w:t>
      </w:r>
      <w:r w:rsidRPr="002A5EE0">
        <w:rPr>
          <w:szCs w:val="24"/>
        </w:rPr>
        <w:t xml:space="preserve"> </w:t>
      </w:r>
      <w:r w:rsidR="00312F31" w:rsidRPr="002A5EE0">
        <w:rPr>
          <w:szCs w:val="24"/>
        </w:rPr>
        <w:t xml:space="preserve">Přijaté dotace činily </w:t>
      </w:r>
      <w:r w:rsidR="002A5EE0" w:rsidRPr="002A5EE0">
        <w:rPr>
          <w:szCs w:val="24"/>
        </w:rPr>
        <w:t>67.462</w:t>
      </w:r>
      <w:r w:rsidR="00C74102" w:rsidRPr="002A5EE0">
        <w:rPr>
          <w:szCs w:val="24"/>
        </w:rPr>
        <w:t xml:space="preserve"> tis. Kč</w:t>
      </w:r>
      <w:r w:rsidR="00312F31" w:rsidRPr="002A5EE0">
        <w:rPr>
          <w:szCs w:val="24"/>
        </w:rPr>
        <w:t xml:space="preserve"> (</w:t>
      </w:r>
      <w:r w:rsidRPr="002A5EE0">
        <w:rPr>
          <w:szCs w:val="24"/>
        </w:rPr>
        <w:t>100,</w:t>
      </w:r>
      <w:r w:rsidR="002A5EE0" w:rsidRPr="002A5EE0">
        <w:rPr>
          <w:szCs w:val="24"/>
        </w:rPr>
        <w:t>1</w:t>
      </w:r>
      <w:r w:rsidR="00312F31" w:rsidRPr="002A5EE0">
        <w:rPr>
          <w:szCs w:val="24"/>
        </w:rPr>
        <w:t>%</w:t>
      </w:r>
      <w:r w:rsidR="00071FD2" w:rsidRPr="002A5EE0">
        <w:rPr>
          <w:szCs w:val="24"/>
        </w:rPr>
        <w:t xml:space="preserve"> UR</w:t>
      </w:r>
      <w:r w:rsidR="00E1774E" w:rsidRPr="002A5EE0">
        <w:rPr>
          <w:szCs w:val="24"/>
        </w:rPr>
        <w:t>)</w:t>
      </w:r>
      <w:r w:rsidR="001040F2" w:rsidRPr="002A5EE0">
        <w:rPr>
          <w:szCs w:val="24"/>
        </w:rPr>
        <w:t>.</w:t>
      </w:r>
      <w:r w:rsidR="002A5EE0" w:rsidRPr="002A5EE0">
        <w:rPr>
          <w:szCs w:val="24"/>
        </w:rPr>
        <w:t xml:space="preserve"> </w:t>
      </w:r>
      <w:r w:rsidR="00F94B91" w:rsidRPr="002A5EE0">
        <w:rPr>
          <w:szCs w:val="24"/>
        </w:rPr>
        <w:t xml:space="preserve">Celkem </w:t>
      </w:r>
      <w:r w:rsidR="001040F2" w:rsidRPr="002A5EE0">
        <w:rPr>
          <w:szCs w:val="24"/>
        </w:rPr>
        <w:t xml:space="preserve">byl vykázán přebytek příjmů oproti UR ve výši </w:t>
      </w:r>
      <w:r w:rsidR="002A5EE0" w:rsidRPr="002A5EE0">
        <w:rPr>
          <w:szCs w:val="24"/>
        </w:rPr>
        <w:t>10.040</w:t>
      </w:r>
      <w:r w:rsidR="00F94B91" w:rsidRPr="002A5EE0">
        <w:rPr>
          <w:szCs w:val="24"/>
        </w:rPr>
        <w:t xml:space="preserve"> tis. Kč. </w:t>
      </w:r>
    </w:p>
    <w:p w:rsidR="004E3CAB" w:rsidRPr="008E1CBF" w:rsidRDefault="004E3CAB" w:rsidP="004E3CAB">
      <w:pPr>
        <w:pStyle w:val="Zkladntext"/>
        <w:outlineLvl w:val="0"/>
        <w:rPr>
          <w:b/>
          <w:szCs w:val="24"/>
        </w:rPr>
      </w:pPr>
      <w:r w:rsidRPr="008E1CBF">
        <w:rPr>
          <w:b/>
          <w:szCs w:val="24"/>
        </w:rPr>
        <w:t>Výdaje:</w:t>
      </w:r>
    </w:p>
    <w:p w:rsidR="004E3CAB" w:rsidRPr="008E1CBF" w:rsidRDefault="004E3CAB" w:rsidP="0098300E">
      <w:pPr>
        <w:pStyle w:val="Zkladntext"/>
        <w:ind w:firstLine="357"/>
        <w:jc w:val="both"/>
        <w:rPr>
          <w:szCs w:val="24"/>
        </w:rPr>
      </w:pPr>
      <w:r w:rsidRPr="008E1CBF">
        <w:rPr>
          <w:szCs w:val="24"/>
        </w:rPr>
        <w:t xml:space="preserve">Běžné i kapitálové výdaje byly čerpány dle upraveného rozpočtu. </w:t>
      </w:r>
      <w:r w:rsidR="002A5EE0" w:rsidRPr="008E1CBF">
        <w:rPr>
          <w:szCs w:val="24"/>
        </w:rPr>
        <w:t xml:space="preserve">RM schválila během roku 11 rozpočtových opatření stejně tak i ZM. </w:t>
      </w:r>
      <w:r w:rsidRPr="008E1CBF">
        <w:rPr>
          <w:szCs w:val="24"/>
        </w:rPr>
        <w:t xml:space="preserve">Financování jednotlivých operací probíhalo plynule, město nevyužívalo žádný překlenovací, či kontokorentní úvěr. Běžné výdaje činily </w:t>
      </w:r>
      <w:r w:rsidR="002A5EE0" w:rsidRPr="008E1CBF">
        <w:rPr>
          <w:szCs w:val="24"/>
        </w:rPr>
        <w:t>124.946</w:t>
      </w:r>
      <w:r w:rsidRPr="008E1CBF">
        <w:rPr>
          <w:szCs w:val="24"/>
        </w:rPr>
        <w:t xml:space="preserve"> tis. Kč, což je </w:t>
      </w:r>
      <w:r w:rsidR="002A5EE0" w:rsidRPr="008E1CBF">
        <w:rPr>
          <w:szCs w:val="24"/>
        </w:rPr>
        <w:t>91,7</w:t>
      </w:r>
      <w:r w:rsidR="001040F2" w:rsidRPr="008E1CBF">
        <w:rPr>
          <w:szCs w:val="24"/>
        </w:rPr>
        <w:t xml:space="preserve"> </w:t>
      </w:r>
      <w:r w:rsidRPr="008E1CBF">
        <w:rPr>
          <w:szCs w:val="24"/>
          <w:lang w:val="en-US"/>
        </w:rPr>
        <w:t>%</w:t>
      </w:r>
      <w:r w:rsidRPr="008E1CBF">
        <w:rPr>
          <w:szCs w:val="24"/>
        </w:rPr>
        <w:t xml:space="preserve"> UR</w:t>
      </w:r>
      <w:r w:rsidR="002A5EE0" w:rsidRPr="008E1CBF">
        <w:rPr>
          <w:szCs w:val="24"/>
        </w:rPr>
        <w:t xml:space="preserve">. </w:t>
      </w:r>
      <w:r w:rsidR="00226B9C" w:rsidRPr="008E1CBF">
        <w:rPr>
          <w:szCs w:val="24"/>
        </w:rPr>
        <w:t>Ve většině činností došlo k úspoře plánovaných výdajů</w:t>
      </w:r>
      <w:r w:rsidR="002A5EE0" w:rsidRPr="008E1CBF">
        <w:rPr>
          <w:szCs w:val="24"/>
        </w:rPr>
        <w:t>.</w:t>
      </w:r>
      <w:r w:rsidR="00414C9A" w:rsidRPr="008E1CBF">
        <w:rPr>
          <w:szCs w:val="24"/>
        </w:rPr>
        <w:t xml:space="preserve"> </w:t>
      </w:r>
      <w:r w:rsidR="002A5EE0" w:rsidRPr="008E1CBF">
        <w:rPr>
          <w:szCs w:val="24"/>
        </w:rPr>
        <w:t>B</w:t>
      </w:r>
      <w:r w:rsidR="00414C9A" w:rsidRPr="008E1CBF">
        <w:rPr>
          <w:szCs w:val="24"/>
        </w:rPr>
        <w:t>ohužel</w:t>
      </w:r>
      <w:r w:rsidR="002A5EE0" w:rsidRPr="008E1CBF">
        <w:rPr>
          <w:szCs w:val="24"/>
        </w:rPr>
        <w:t xml:space="preserve"> se</w:t>
      </w:r>
      <w:r w:rsidR="00414C9A" w:rsidRPr="008E1CBF">
        <w:rPr>
          <w:szCs w:val="24"/>
        </w:rPr>
        <w:t xml:space="preserve"> nepodařilo uskutečnit </w:t>
      </w:r>
      <w:r w:rsidR="002A5EE0" w:rsidRPr="008E1CBF">
        <w:rPr>
          <w:szCs w:val="24"/>
        </w:rPr>
        <w:t xml:space="preserve">některé </w:t>
      </w:r>
      <w:r w:rsidR="00414C9A" w:rsidRPr="008E1CBF">
        <w:rPr>
          <w:szCs w:val="24"/>
        </w:rPr>
        <w:t xml:space="preserve">plánované investiční akce, z rozpočtované částky na investice ve výši </w:t>
      </w:r>
      <w:r w:rsidR="002A5EE0" w:rsidRPr="008E1CBF">
        <w:rPr>
          <w:szCs w:val="24"/>
        </w:rPr>
        <w:t>109.199</w:t>
      </w:r>
      <w:r w:rsidR="00414C9A" w:rsidRPr="008E1CBF">
        <w:rPr>
          <w:szCs w:val="24"/>
        </w:rPr>
        <w:t xml:space="preserve"> tis. Kč se vyčerpalo pouze </w:t>
      </w:r>
      <w:r w:rsidR="002A5EE0" w:rsidRPr="008E1CBF">
        <w:rPr>
          <w:szCs w:val="24"/>
        </w:rPr>
        <w:t>73.404</w:t>
      </w:r>
      <w:r w:rsidR="00414C9A" w:rsidRPr="008E1CBF">
        <w:rPr>
          <w:szCs w:val="24"/>
        </w:rPr>
        <w:t xml:space="preserve"> tis. Kč, tj. </w:t>
      </w:r>
      <w:r w:rsidR="002A5EE0" w:rsidRPr="008E1CBF">
        <w:rPr>
          <w:szCs w:val="24"/>
        </w:rPr>
        <w:t>67,2</w:t>
      </w:r>
      <w:r w:rsidR="00414C9A" w:rsidRPr="008E1CBF">
        <w:rPr>
          <w:szCs w:val="24"/>
        </w:rPr>
        <w:t xml:space="preserve">% UR. </w:t>
      </w:r>
      <w:r w:rsidR="00226B9C" w:rsidRPr="008E1CBF">
        <w:rPr>
          <w:szCs w:val="24"/>
        </w:rPr>
        <w:t xml:space="preserve">  </w:t>
      </w:r>
      <w:r w:rsidR="00414C9A" w:rsidRPr="008E1CBF">
        <w:rPr>
          <w:szCs w:val="24"/>
        </w:rPr>
        <w:t>Tabulka</w:t>
      </w:r>
      <w:r w:rsidR="003F6A0A" w:rsidRPr="008E1CBF">
        <w:rPr>
          <w:szCs w:val="24"/>
        </w:rPr>
        <w:t xml:space="preserve"> vyhodnocení přebytku hospodaření za rok 201</w:t>
      </w:r>
      <w:r w:rsidR="002A5EE0" w:rsidRPr="008E1CBF">
        <w:rPr>
          <w:szCs w:val="24"/>
        </w:rPr>
        <w:t>7</w:t>
      </w:r>
      <w:r w:rsidR="00414C9A" w:rsidRPr="008E1CBF">
        <w:rPr>
          <w:szCs w:val="24"/>
        </w:rPr>
        <w:t xml:space="preserve"> ukazuje přehled, v jakých činnostech byly vyšší, či nižší příjmy, kde se ušetřily výdajové prostředky a které akce přecházejí do příštího roku 201</w:t>
      </w:r>
      <w:r w:rsidR="002A5EE0" w:rsidRPr="008E1CBF">
        <w:rPr>
          <w:szCs w:val="24"/>
        </w:rPr>
        <w:t>8</w:t>
      </w:r>
      <w:r w:rsidR="001040F2" w:rsidRPr="008E1CBF">
        <w:rPr>
          <w:szCs w:val="24"/>
        </w:rPr>
        <w:t>.</w:t>
      </w:r>
      <w:r w:rsidRPr="008E1CBF">
        <w:rPr>
          <w:szCs w:val="24"/>
        </w:rPr>
        <w:t xml:space="preserve">  Největšími investičními akcemi města Jilemnice v r</w:t>
      </w:r>
      <w:r w:rsidR="001569F6" w:rsidRPr="008E1CBF">
        <w:rPr>
          <w:szCs w:val="24"/>
        </w:rPr>
        <w:t>oce</w:t>
      </w:r>
      <w:r w:rsidRPr="008E1CBF">
        <w:rPr>
          <w:szCs w:val="24"/>
        </w:rPr>
        <w:t xml:space="preserve"> 201</w:t>
      </w:r>
      <w:r w:rsidR="002A5EE0" w:rsidRPr="008E1CBF">
        <w:rPr>
          <w:szCs w:val="24"/>
        </w:rPr>
        <w:t>7</w:t>
      </w:r>
      <w:r w:rsidR="00AC7FB0" w:rsidRPr="008E1CBF">
        <w:rPr>
          <w:szCs w:val="24"/>
        </w:rPr>
        <w:t xml:space="preserve"> </w:t>
      </w:r>
      <w:r w:rsidRPr="008E1CBF">
        <w:rPr>
          <w:szCs w:val="24"/>
        </w:rPr>
        <w:t xml:space="preserve">byly: </w:t>
      </w:r>
    </w:p>
    <w:p w:rsidR="00732DB7" w:rsidRPr="008E1CBF" w:rsidRDefault="00AC7FB0" w:rsidP="00732DB7">
      <w:pPr>
        <w:pStyle w:val="Zkladntext"/>
        <w:numPr>
          <w:ilvl w:val="0"/>
          <w:numId w:val="20"/>
        </w:numPr>
        <w:jc w:val="both"/>
        <w:rPr>
          <w:sz w:val="20"/>
        </w:rPr>
      </w:pPr>
      <w:r w:rsidRPr="008E1CBF">
        <w:rPr>
          <w:sz w:val="20"/>
        </w:rPr>
        <w:t>Volnočasov</w:t>
      </w:r>
      <w:r w:rsidR="008E1CBF" w:rsidRPr="008E1CBF">
        <w:rPr>
          <w:sz w:val="20"/>
        </w:rPr>
        <w:t>ý</w:t>
      </w:r>
      <w:r w:rsidRPr="008E1CBF">
        <w:rPr>
          <w:sz w:val="20"/>
        </w:rPr>
        <w:t xml:space="preserve"> areál Hraběnka </w:t>
      </w:r>
      <w:r w:rsidR="00732DB7" w:rsidRPr="008E1CBF">
        <w:rPr>
          <w:sz w:val="20"/>
        </w:rPr>
        <w:t>(</w:t>
      </w:r>
      <w:r w:rsidR="008E1CBF" w:rsidRPr="008E1CBF">
        <w:rPr>
          <w:sz w:val="20"/>
        </w:rPr>
        <w:t>62.077</w:t>
      </w:r>
      <w:r w:rsidR="00732DB7" w:rsidRPr="008E1CBF">
        <w:rPr>
          <w:sz w:val="20"/>
        </w:rPr>
        <w:t xml:space="preserve"> tis. Kč)</w:t>
      </w:r>
    </w:p>
    <w:p w:rsidR="008E1CBF" w:rsidRPr="008E1CBF" w:rsidRDefault="008E1CBF" w:rsidP="008E1CBF">
      <w:pPr>
        <w:pStyle w:val="Zkladntext"/>
        <w:numPr>
          <w:ilvl w:val="0"/>
          <w:numId w:val="20"/>
        </w:numPr>
        <w:jc w:val="both"/>
        <w:rPr>
          <w:sz w:val="20"/>
        </w:rPr>
      </w:pPr>
      <w:r w:rsidRPr="008E1CBF">
        <w:rPr>
          <w:sz w:val="20"/>
        </w:rPr>
        <w:t>Rekonstrukce ul. Žižkova (3.115 tis. Kč)</w:t>
      </w:r>
    </w:p>
    <w:p w:rsidR="008E1CBF" w:rsidRPr="008E1CBF" w:rsidRDefault="008E1CBF" w:rsidP="00732DB7">
      <w:pPr>
        <w:pStyle w:val="Zkladntext"/>
        <w:numPr>
          <w:ilvl w:val="0"/>
          <w:numId w:val="20"/>
        </w:numPr>
        <w:jc w:val="both"/>
        <w:rPr>
          <w:sz w:val="20"/>
        </w:rPr>
      </w:pPr>
      <w:r w:rsidRPr="008E1CBF">
        <w:rPr>
          <w:sz w:val="20"/>
        </w:rPr>
        <w:t>Parkoviště u DPS (1.538 tis. Kč)</w:t>
      </w:r>
    </w:p>
    <w:p w:rsidR="008A090F" w:rsidRPr="008E1CBF" w:rsidRDefault="008E1CBF" w:rsidP="00732DB7">
      <w:pPr>
        <w:pStyle w:val="Zkladntext"/>
        <w:numPr>
          <w:ilvl w:val="0"/>
          <w:numId w:val="20"/>
        </w:numPr>
        <w:jc w:val="both"/>
        <w:rPr>
          <w:sz w:val="20"/>
        </w:rPr>
      </w:pPr>
      <w:r>
        <w:rPr>
          <w:sz w:val="20"/>
        </w:rPr>
        <w:t xml:space="preserve">Modernizace odpadového systému </w:t>
      </w:r>
      <w:r w:rsidR="008A090F" w:rsidRPr="008E1CBF">
        <w:rPr>
          <w:sz w:val="20"/>
        </w:rPr>
        <w:t>(</w:t>
      </w:r>
      <w:r>
        <w:rPr>
          <w:sz w:val="20"/>
        </w:rPr>
        <w:t>1.480</w:t>
      </w:r>
      <w:r w:rsidR="008A090F" w:rsidRPr="008E1CBF">
        <w:rPr>
          <w:sz w:val="20"/>
        </w:rPr>
        <w:t xml:space="preserve"> tis. Kč)</w:t>
      </w:r>
    </w:p>
    <w:p w:rsidR="00732DB7" w:rsidRPr="008E1CBF" w:rsidRDefault="00732DB7" w:rsidP="00732DB7">
      <w:pPr>
        <w:pStyle w:val="Zkladntext"/>
        <w:jc w:val="both"/>
        <w:rPr>
          <w:sz w:val="20"/>
        </w:rPr>
      </w:pPr>
    </w:p>
    <w:p w:rsidR="00220A52" w:rsidRPr="008E1CBF" w:rsidRDefault="004E3CAB" w:rsidP="00957F69">
      <w:pPr>
        <w:pStyle w:val="Zkladntext"/>
        <w:outlineLvl w:val="0"/>
        <w:rPr>
          <w:b/>
          <w:szCs w:val="24"/>
        </w:rPr>
      </w:pPr>
      <w:r w:rsidRPr="008E1CBF">
        <w:rPr>
          <w:b/>
          <w:szCs w:val="24"/>
        </w:rPr>
        <w:t>Financování :</w:t>
      </w:r>
    </w:p>
    <w:p w:rsidR="004E3CAB" w:rsidRPr="001B6CBA" w:rsidRDefault="00C21257" w:rsidP="001B6CBA">
      <w:pPr>
        <w:pStyle w:val="Zkladntext"/>
        <w:ind w:firstLine="360"/>
        <w:jc w:val="both"/>
        <w:rPr>
          <w:szCs w:val="24"/>
        </w:rPr>
      </w:pPr>
      <w:r w:rsidRPr="008E1CBF">
        <w:rPr>
          <w:szCs w:val="24"/>
        </w:rPr>
        <w:t>Rok 201</w:t>
      </w:r>
      <w:r w:rsidR="008E1CBF" w:rsidRPr="008E1CBF">
        <w:rPr>
          <w:szCs w:val="24"/>
        </w:rPr>
        <w:t>7</w:t>
      </w:r>
      <w:r w:rsidRPr="008E1CBF">
        <w:rPr>
          <w:szCs w:val="24"/>
        </w:rPr>
        <w:t xml:space="preserve"> byl pro město Jilemnice z hlediska hospodaření úspěšný. </w:t>
      </w:r>
      <w:r w:rsidR="004E3CAB" w:rsidRPr="008E1CBF">
        <w:rPr>
          <w:szCs w:val="24"/>
        </w:rPr>
        <w:t>V roce 201</w:t>
      </w:r>
      <w:r w:rsidR="008E1CBF" w:rsidRPr="008E1CBF">
        <w:rPr>
          <w:szCs w:val="24"/>
        </w:rPr>
        <w:t>7</w:t>
      </w:r>
      <w:r w:rsidR="004E3CAB" w:rsidRPr="008E1CBF">
        <w:rPr>
          <w:szCs w:val="24"/>
        </w:rPr>
        <w:t xml:space="preserve"> město nečerpalo žádný nový úvěr. Do financování r</w:t>
      </w:r>
      <w:r w:rsidR="001569F6" w:rsidRPr="008E1CBF">
        <w:rPr>
          <w:szCs w:val="24"/>
        </w:rPr>
        <w:t>oku</w:t>
      </w:r>
      <w:r w:rsidR="004E3CAB" w:rsidRPr="008E1CBF">
        <w:rPr>
          <w:szCs w:val="24"/>
        </w:rPr>
        <w:t xml:space="preserve"> 201</w:t>
      </w:r>
      <w:r w:rsidR="008E1CBF" w:rsidRPr="008E1CBF">
        <w:rPr>
          <w:szCs w:val="24"/>
        </w:rPr>
        <w:t>7</w:t>
      </w:r>
      <w:r w:rsidR="004E3CAB" w:rsidRPr="008E1CBF">
        <w:rPr>
          <w:szCs w:val="24"/>
        </w:rPr>
        <w:t xml:space="preserve"> byl zapojen </w:t>
      </w:r>
      <w:r w:rsidR="00E82582" w:rsidRPr="008E1CBF">
        <w:rPr>
          <w:szCs w:val="24"/>
        </w:rPr>
        <w:t xml:space="preserve">přebytek hospodaření z roku </w:t>
      </w:r>
      <w:r w:rsidR="008A090F" w:rsidRPr="008E1CBF">
        <w:rPr>
          <w:szCs w:val="24"/>
        </w:rPr>
        <w:t>201</w:t>
      </w:r>
      <w:r w:rsidR="008E1CBF" w:rsidRPr="008E1CBF">
        <w:rPr>
          <w:szCs w:val="24"/>
        </w:rPr>
        <w:t>6</w:t>
      </w:r>
      <w:r w:rsidR="008A090F" w:rsidRPr="008E1CBF">
        <w:rPr>
          <w:szCs w:val="24"/>
        </w:rPr>
        <w:t>.</w:t>
      </w:r>
      <w:r w:rsidR="00E82582" w:rsidRPr="008E1CBF">
        <w:rPr>
          <w:szCs w:val="24"/>
        </w:rPr>
        <w:t xml:space="preserve"> Město Jilemnice nemá k 31.</w:t>
      </w:r>
      <w:r w:rsidR="00B65AC0" w:rsidRPr="008E1CBF">
        <w:rPr>
          <w:szCs w:val="24"/>
        </w:rPr>
        <w:t xml:space="preserve"> </w:t>
      </w:r>
      <w:r w:rsidR="00E82582" w:rsidRPr="008E1CBF">
        <w:rPr>
          <w:szCs w:val="24"/>
        </w:rPr>
        <w:t>12.</w:t>
      </w:r>
      <w:r w:rsidR="00B65AC0" w:rsidRPr="008E1CBF">
        <w:rPr>
          <w:szCs w:val="24"/>
        </w:rPr>
        <w:t xml:space="preserve"> </w:t>
      </w:r>
      <w:r w:rsidR="00E82582" w:rsidRPr="008E1CBF">
        <w:rPr>
          <w:szCs w:val="24"/>
        </w:rPr>
        <w:t>201</w:t>
      </w:r>
      <w:r w:rsidR="008E1CBF" w:rsidRPr="008E1CBF">
        <w:rPr>
          <w:szCs w:val="24"/>
        </w:rPr>
        <w:t>7</w:t>
      </w:r>
      <w:r w:rsidR="00E82582" w:rsidRPr="008E1CBF">
        <w:rPr>
          <w:szCs w:val="24"/>
        </w:rPr>
        <w:t xml:space="preserve"> žádné závazky z dlouhodobých úvěrů.</w:t>
      </w:r>
      <w:r w:rsidR="004E3CAB" w:rsidRPr="008E1CBF">
        <w:rPr>
          <w:szCs w:val="24"/>
        </w:rPr>
        <w:t xml:space="preserve"> Přebytek z </w:t>
      </w:r>
      <w:r w:rsidR="004E3CAB" w:rsidRPr="008E1CBF">
        <w:rPr>
          <w:szCs w:val="24"/>
        </w:rPr>
        <w:lastRenderedPageBreak/>
        <w:t>rozpočtového hospodaření za rok 201</w:t>
      </w:r>
      <w:r w:rsidR="008E1CBF" w:rsidRPr="008E1CBF">
        <w:rPr>
          <w:szCs w:val="24"/>
        </w:rPr>
        <w:t>7</w:t>
      </w:r>
      <w:r w:rsidR="004E3CAB" w:rsidRPr="008E1CBF">
        <w:rPr>
          <w:szCs w:val="24"/>
        </w:rPr>
        <w:t xml:space="preserve"> byl vykázán ve výši </w:t>
      </w:r>
      <w:r w:rsidR="008E1CBF" w:rsidRPr="008E1CBF">
        <w:rPr>
          <w:szCs w:val="24"/>
        </w:rPr>
        <w:t>57.116</w:t>
      </w:r>
      <w:r w:rsidR="008A090F" w:rsidRPr="008E1CBF">
        <w:rPr>
          <w:szCs w:val="24"/>
        </w:rPr>
        <w:t xml:space="preserve"> </w:t>
      </w:r>
      <w:r w:rsidR="00E82582" w:rsidRPr="008E1CBF">
        <w:rPr>
          <w:szCs w:val="24"/>
        </w:rPr>
        <w:t>tis.</w:t>
      </w:r>
      <w:r w:rsidR="004E3CAB" w:rsidRPr="008E1CBF">
        <w:rPr>
          <w:szCs w:val="24"/>
        </w:rPr>
        <w:t xml:space="preserve"> </w:t>
      </w:r>
      <w:r w:rsidR="0098300E" w:rsidRPr="008E1CBF">
        <w:rPr>
          <w:szCs w:val="24"/>
        </w:rPr>
        <w:t>Kč</w:t>
      </w:r>
      <w:r w:rsidR="004E3CAB" w:rsidRPr="008E1CBF">
        <w:rPr>
          <w:szCs w:val="24"/>
        </w:rPr>
        <w:t xml:space="preserve">, </w:t>
      </w:r>
      <w:r w:rsidR="008A090F" w:rsidRPr="008E1CBF">
        <w:rPr>
          <w:szCs w:val="24"/>
        </w:rPr>
        <w:t>s</w:t>
      </w:r>
      <w:r w:rsidR="004E3CAB" w:rsidRPr="008E1CBF">
        <w:rPr>
          <w:szCs w:val="24"/>
        </w:rPr>
        <w:t>trukturu přebytku vyjadřuje následující tabulka:</w:t>
      </w:r>
      <w:r w:rsidR="004E3CAB" w:rsidRPr="00E82582">
        <w:rPr>
          <w:szCs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90"/>
        <w:gridCol w:w="850"/>
        <w:gridCol w:w="992"/>
        <w:gridCol w:w="851"/>
        <w:gridCol w:w="2268"/>
      </w:tblGrid>
      <w:tr w:rsidR="004E3CAB" w:rsidRPr="00B72C5A" w:rsidTr="00E817A8">
        <w:trPr>
          <w:trHeight w:val="315"/>
        </w:trPr>
        <w:tc>
          <w:tcPr>
            <w:tcW w:w="7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115390" w:rsidRDefault="004E3CAB" w:rsidP="008E35B4">
            <w:pPr>
              <w:rPr>
                <w:rFonts w:ascii="Arial" w:hAnsi="Arial" w:cs="Arial"/>
                <w:b/>
                <w:bCs/>
              </w:rPr>
            </w:pPr>
            <w:r w:rsidRPr="00115390">
              <w:rPr>
                <w:rFonts w:ascii="Arial" w:hAnsi="Arial" w:cs="Arial"/>
                <w:b/>
                <w:bCs/>
              </w:rPr>
              <w:t xml:space="preserve">Vyhodnocení přebytku hospodaření za rok </w:t>
            </w:r>
            <w:r w:rsidR="00696131">
              <w:rPr>
                <w:rFonts w:ascii="Arial" w:hAnsi="Arial" w:cs="Arial"/>
                <w:b/>
                <w:bCs/>
              </w:rPr>
              <w:t>2017</w:t>
            </w:r>
            <w:r w:rsidR="00FA1760" w:rsidRPr="00115390"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115390" w:rsidRDefault="004E3CAB" w:rsidP="008602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5390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</w:tr>
      <w:tr w:rsidR="004E3CAB" w:rsidTr="00E817A8">
        <w:trPr>
          <w:trHeight w:val="255"/>
        </w:trPr>
        <w:tc>
          <w:tcPr>
            <w:tcW w:w="6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3E57FF" w:rsidRDefault="003E57FF" w:rsidP="008E35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rozdíl mezi příjmy a výdaji za rok 201</w:t>
            </w:r>
            <w:r w:rsidR="00696131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EA311A" w:rsidRDefault="00696131" w:rsidP="00EA311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-14 963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BD7DE7" w:rsidRDefault="004E3CAB" w:rsidP="008602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CAB" w:rsidTr="00E817A8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3E57FF" w:rsidRDefault="003E57FF" w:rsidP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zapojený přebytek z roku 201</w:t>
            </w:r>
            <w:r w:rsidR="00696131">
              <w:rPr>
                <w:rFonts w:ascii="Arial" w:hAnsi="Arial" w:cs="Arial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B34" w:rsidRPr="00EA311A" w:rsidRDefault="00696131" w:rsidP="00EA31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72 079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BD7DE7" w:rsidRDefault="004E3CAB" w:rsidP="008602BE">
            <w:pPr>
              <w:rPr>
                <w:rFonts w:ascii="Arial" w:hAnsi="Arial" w:cs="Arial"/>
              </w:rPr>
            </w:pPr>
          </w:p>
        </w:tc>
      </w:tr>
      <w:tr w:rsidR="004E3CAB" w:rsidTr="00E817A8">
        <w:trPr>
          <w:trHeight w:val="255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3E57FF" w:rsidRDefault="003E57FF" w:rsidP="008E35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celkový přebytek hospodaření za rok 201</w:t>
            </w:r>
            <w:r w:rsidR="00696131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EA311A" w:rsidRDefault="00696131" w:rsidP="00EA311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57 116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BD7DE7" w:rsidRDefault="004E3CAB" w:rsidP="008602B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E3CAB" w:rsidTr="00E817A8">
        <w:trPr>
          <w:trHeight w:val="27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FA1760" w:rsidRDefault="00FA1760" w:rsidP="00860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údaje </w:t>
            </w:r>
            <w:r w:rsidRPr="00AF3681">
              <w:rPr>
                <w:sz w:val="22"/>
                <w:szCs w:val="22"/>
              </w:rPr>
              <w:t xml:space="preserve"> v tis.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činnosti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vyšší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ušetřené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saldo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příjmy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výdaje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daňové příjmy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6 924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6 924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daň z hazardu, odvod z hracích přístrojů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1 556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1 556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prodej majetku (pozemků a proj. dokumentace)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1 041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1 041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lesnictví , lom revitalizace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1 272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komunální odpad (poplatek, kompenzace)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-130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přijaté náhrady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204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pečovatelská služba, soc. péče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589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správní poplatky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popl. za znečišťování ovzduší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činnost místní správy, veřejnospr. smlouvy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2 740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2 814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komunální služby, opravy pron. majetku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486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522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areál služeb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169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bytové hospodářství - nájem, služby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-631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2 057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1 426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sankční platby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-691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-691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koupaliště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10 023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10 023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Chodník Čsl. Legií - zvýšení bezpečnosti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11 733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11 733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2018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Hraběnka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6 937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6 937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2018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nečerpané rozpočtové rezervy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2 933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2 933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příspěvek SC na závlahový systém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2 000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2018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památková péče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1 407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1 407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doprava (údržba, stavby a projekce)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1 172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1 172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částečný přesun do r. 2018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péče o veřejnou zeleň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1 033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1 033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opravy budov škol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1 028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2018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odpadový systém, kompostárna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570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výkup pozemků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388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388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krizové řízení, požární ochrana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356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pohřebnictví, kolumbárium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2018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zámecký park - podium, cesty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2018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územní plán, územní rozvoj,inf. systém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výdaje za prodej majetku, pojištění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134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131" w:rsidTr="00E817A8">
        <w:trPr>
          <w:trHeight w:val="25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10 040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47 076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57 116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220A52" w:rsidRDefault="00220A52" w:rsidP="004E3CAB">
      <w:pPr>
        <w:pStyle w:val="Zkladntext"/>
        <w:jc w:val="both"/>
        <w:rPr>
          <w:szCs w:val="24"/>
          <w:lang w:val="en-US"/>
        </w:rPr>
      </w:pPr>
    </w:p>
    <w:p w:rsidR="00E817A8" w:rsidRPr="00B82EDF" w:rsidRDefault="00CA0874" w:rsidP="00E817A8">
      <w:pPr>
        <w:rPr>
          <w:b/>
          <w:sz w:val="24"/>
        </w:rPr>
      </w:pPr>
      <w:r w:rsidRPr="00B82EDF">
        <w:rPr>
          <w:b/>
          <w:sz w:val="24"/>
        </w:rPr>
        <w:t xml:space="preserve">2) </w:t>
      </w:r>
      <w:r w:rsidR="00E817A8" w:rsidRPr="00B82EDF">
        <w:rPr>
          <w:b/>
          <w:sz w:val="24"/>
        </w:rPr>
        <w:t>Údaje o hospodaření s majetkem za rok 2017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559"/>
        <w:gridCol w:w="1843"/>
      </w:tblGrid>
      <w:tr w:rsidR="00E817A8" w:rsidRPr="00B82EDF" w:rsidTr="00522E21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A8" w:rsidRPr="00B82EDF" w:rsidRDefault="00E817A8" w:rsidP="00522E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82EDF">
              <w:rPr>
                <w:rFonts w:ascii="Arial" w:hAnsi="Arial" w:cs="Arial"/>
                <w:b/>
                <w:bCs/>
                <w:color w:val="000000"/>
              </w:rPr>
              <w:t>Vybrané údaje z rozvahy:  (tis. Kč) brutto stav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A8" w:rsidRPr="00B82EDF" w:rsidRDefault="00E817A8" w:rsidP="00522E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2E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 k 1. 1. 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2E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 k 31. 12. 2017</w:t>
            </w:r>
          </w:p>
        </w:tc>
      </w:tr>
      <w:tr w:rsidR="00E817A8" w:rsidRPr="00B82EDF" w:rsidTr="00522E2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A8" w:rsidRPr="00B82EDF" w:rsidRDefault="00E817A8" w:rsidP="00522E21">
            <w:pPr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Dlouhodobý nehmotný majetek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6 634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7 224</w:t>
            </w:r>
          </w:p>
        </w:tc>
      </w:tr>
      <w:tr w:rsidR="00E817A8" w:rsidRPr="00B82EDF" w:rsidTr="00522E2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A8" w:rsidRPr="00B82EDF" w:rsidRDefault="00E817A8" w:rsidP="00522E21">
            <w:pPr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Pozemky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88 781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88 405</w:t>
            </w:r>
          </w:p>
        </w:tc>
      </w:tr>
      <w:tr w:rsidR="00E817A8" w:rsidRPr="00B82EDF" w:rsidTr="00522E2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A8" w:rsidRPr="00B82EDF" w:rsidRDefault="00E817A8" w:rsidP="00522E21">
            <w:pPr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Kulturní předměty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488</w:t>
            </w:r>
          </w:p>
        </w:tc>
      </w:tr>
      <w:tr w:rsidR="00E817A8" w:rsidRPr="00B82EDF" w:rsidTr="00522E2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A8" w:rsidRPr="00B82EDF" w:rsidRDefault="00E817A8" w:rsidP="00522E21">
            <w:pPr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Stavby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977 681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522 800</w:t>
            </w:r>
          </w:p>
        </w:tc>
      </w:tr>
      <w:tr w:rsidR="00E817A8" w:rsidRPr="00B82EDF" w:rsidTr="00522E2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A8" w:rsidRPr="00B82EDF" w:rsidRDefault="00E817A8" w:rsidP="00522E21">
            <w:pPr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Samostatné movité věci a soubory movitých věcí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42 678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42 505</w:t>
            </w:r>
          </w:p>
        </w:tc>
      </w:tr>
      <w:tr w:rsidR="00E817A8" w:rsidRPr="00B82EDF" w:rsidTr="00522E2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A8" w:rsidRPr="00B82EDF" w:rsidRDefault="00E817A8" w:rsidP="00522E21">
            <w:pPr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Nedokončený dlouhodobý hmotný majetek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21 614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82 865</w:t>
            </w:r>
          </w:p>
        </w:tc>
      </w:tr>
      <w:tr w:rsidR="00E817A8" w:rsidRPr="00B82EDF" w:rsidTr="00522E21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A8" w:rsidRPr="00B82EDF" w:rsidRDefault="00E817A8" w:rsidP="00522E21">
            <w:pPr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Majetkové účasti (Zásobování teplem s. r. 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8 600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8 600</w:t>
            </w:r>
          </w:p>
        </w:tc>
      </w:tr>
      <w:tr w:rsidR="00E817A8" w:rsidRPr="00B82EDF" w:rsidTr="00522E21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Majetkové účasti (MMN a.s.)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1 657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435 570</w:t>
            </w:r>
          </w:p>
        </w:tc>
      </w:tr>
      <w:tr w:rsidR="00E817A8" w:rsidRPr="00B82EDF" w:rsidTr="00522E21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Majetkové účasti (SC Jilemnice s.r.o.)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1 200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7A8" w:rsidRPr="00B82EDF" w:rsidRDefault="00E817A8" w:rsidP="00522E21">
            <w:pPr>
              <w:jc w:val="right"/>
              <w:rPr>
                <w:rFonts w:ascii="Arial" w:hAnsi="Arial" w:cs="Arial"/>
                <w:color w:val="000000"/>
              </w:rPr>
            </w:pPr>
            <w:r w:rsidRPr="00B82EDF">
              <w:rPr>
                <w:rFonts w:ascii="Arial" w:hAnsi="Arial" w:cs="Arial"/>
                <w:color w:val="000000"/>
              </w:rPr>
              <w:t>45 188</w:t>
            </w:r>
          </w:p>
        </w:tc>
      </w:tr>
    </w:tbl>
    <w:p w:rsidR="00B929EA" w:rsidRPr="00B82EDF" w:rsidRDefault="00B929EA" w:rsidP="00E817A8">
      <w:pPr>
        <w:rPr>
          <w:sz w:val="22"/>
          <w:szCs w:val="22"/>
        </w:rPr>
      </w:pPr>
    </w:p>
    <w:p w:rsidR="00E817A8" w:rsidRPr="00B82EDF" w:rsidRDefault="00E817A8" w:rsidP="00E817A8">
      <w:pPr>
        <w:pStyle w:val="Nadpis3"/>
        <w:jc w:val="both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B82EDF">
        <w:rPr>
          <w:rFonts w:ascii="Times New Roman" w:hAnsi="Times New Roman"/>
          <w:color w:val="auto"/>
          <w:sz w:val="22"/>
          <w:szCs w:val="22"/>
        </w:rPr>
        <w:lastRenderedPageBreak/>
        <w:t>a)  Majetek  zatížený zástavním a jiným věcným právem</w:t>
      </w:r>
      <w:r w:rsidRPr="00B82EDF">
        <w:rPr>
          <w:rFonts w:ascii="Times New Roman" w:hAnsi="Times New Roman"/>
          <w:b w:val="0"/>
          <w:color w:val="auto"/>
          <w:sz w:val="22"/>
          <w:szCs w:val="22"/>
        </w:rPr>
        <w:t xml:space="preserve">:  91.098  </w:t>
      </w:r>
      <w:r w:rsidRPr="00B82EDF">
        <w:rPr>
          <w:rFonts w:ascii="Times New Roman" w:hAnsi="Times New Roman"/>
          <w:b w:val="0"/>
          <w:bCs/>
          <w:color w:val="auto"/>
          <w:sz w:val="22"/>
          <w:szCs w:val="22"/>
        </w:rPr>
        <w:t>tis. Kč, výše zástavy 26.640 tis. Kč</w:t>
      </w:r>
    </w:p>
    <w:p w:rsidR="00E817A8" w:rsidRPr="00B82EDF" w:rsidRDefault="00E817A8" w:rsidP="00E817A8">
      <w:pPr>
        <w:pStyle w:val="Nadpis3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B82EDF">
        <w:rPr>
          <w:rFonts w:ascii="Times New Roman" w:hAnsi="Times New Roman"/>
          <w:color w:val="auto"/>
          <w:sz w:val="22"/>
          <w:szCs w:val="22"/>
        </w:rPr>
        <w:t>b)  Majetek předaný do správy k hospodaření příspěvkovým organizacím:</w:t>
      </w:r>
      <w:r w:rsidRPr="00B82EDF">
        <w:rPr>
          <w:rFonts w:ascii="Times New Roman" w:hAnsi="Times New Roman"/>
          <w:b w:val="0"/>
          <w:color w:val="auto"/>
          <w:sz w:val="22"/>
          <w:szCs w:val="22"/>
        </w:rPr>
        <w:t xml:space="preserve"> hodnota 25.218  tis. Kč</w:t>
      </w:r>
    </w:p>
    <w:p w:rsidR="00E817A8" w:rsidRPr="00B82EDF" w:rsidRDefault="00E817A8" w:rsidP="00E817A8">
      <w:pPr>
        <w:rPr>
          <w:sz w:val="22"/>
          <w:szCs w:val="22"/>
        </w:rPr>
      </w:pPr>
      <w:r w:rsidRPr="00B82EDF">
        <w:rPr>
          <w:b/>
          <w:sz w:val="22"/>
          <w:szCs w:val="22"/>
        </w:rPr>
        <w:t>c)  Přijaté ručitelské závazky:</w:t>
      </w:r>
      <w:r w:rsidRPr="00B82EDF">
        <w:rPr>
          <w:sz w:val="22"/>
          <w:szCs w:val="22"/>
        </w:rPr>
        <w:t xml:space="preserve">  ručení pro VHS Turnov 24.992 tis. Kč.</w:t>
      </w:r>
    </w:p>
    <w:p w:rsidR="0067056D" w:rsidRPr="0067056D" w:rsidRDefault="0067056D" w:rsidP="0067056D">
      <w:pPr>
        <w:pStyle w:val="Normln2"/>
        <w:widowControl/>
        <w:spacing w:before="120"/>
        <w:rPr>
          <w:b/>
          <w:sz w:val="22"/>
          <w:szCs w:val="22"/>
        </w:rPr>
      </w:pPr>
      <w:r w:rsidRPr="0067056D">
        <w:rPr>
          <w:b/>
          <w:sz w:val="22"/>
          <w:szCs w:val="22"/>
        </w:rPr>
        <w:t xml:space="preserve">d) Přírůstky a úbytky dlouhodobého majetku: v tis. Kč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  <w:gridCol w:w="3334"/>
        <w:gridCol w:w="2758"/>
      </w:tblGrid>
      <w:tr w:rsidR="0067056D" w:rsidRPr="0067056D" w:rsidTr="00522E21">
        <w:tc>
          <w:tcPr>
            <w:tcW w:w="3334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334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>Přírůstky v tis.  Kč</w:t>
            </w:r>
          </w:p>
        </w:tc>
        <w:tc>
          <w:tcPr>
            <w:tcW w:w="2758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>Úbytky v tis.  Kč</w:t>
            </w:r>
          </w:p>
        </w:tc>
      </w:tr>
      <w:tr w:rsidR="0067056D" w:rsidRPr="0067056D" w:rsidTr="00522E21">
        <w:tc>
          <w:tcPr>
            <w:tcW w:w="3334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>Nehmotný</w:t>
            </w:r>
          </w:p>
        </w:tc>
        <w:tc>
          <w:tcPr>
            <w:tcW w:w="3334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>703</w:t>
            </w:r>
          </w:p>
        </w:tc>
        <w:tc>
          <w:tcPr>
            <w:tcW w:w="2758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>113</w:t>
            </w:r>
          </w:p>
        </w:tc>
      </w:tr>
      <w:tr w:rsidR="0067056D" w:rsidRPr="0067056D" w:rsidTr="00522E21">
        <w:tc>
          <w:tcPr>
            <w:tcW w:w="3334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>Pozemky</w:t>
            </w:r>
          </w:p>
        </w:tc>
        <w:tc>
          <w:tcPr>
            <w:tcW w:w="3334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>1 559</w:t>
            </w:r>
          </w:p>
        </w:tc>
        <w:tc>
          <w:tcPr>
            <w:tcW w:w="2758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>1 935</w:t>
            </w:r>
          </w:p>
        </w:tc>
      </w:tr>
      <w:tr w:rsidR="0067056D" w:rsidRPr="0067056D" w:rsidTr="00522E21">
        <w:trPr>
          <w:trHeight w:val="404"/>
        </w:trPr>
        <w:tc>
          <w:tcPr>
            <w:tcW w:w="3334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>Stavby</w:t>
            </w:r>
          </w:p>
        </w:tc>
        <w:tc>
          <w:tcPr>
            <w:tcW w:w="3334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>66 785</w:t>
            </w:r>
          </w:p>
        </w:tc>
        <w:tc>
          <w:tcPr>
            <w:tcW w:w="2758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>521 666</w:t>
            </w:r>
          </w:p>
        </w:tc>
      </w:tr>
      <w:tr w:rsidR="0067056D" w:rsidRPr="00B0389E" w:rsidTr="00522E21">
        <w:tc>
          <w:tcPr>
            <w:tcW w:w="3334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 xml:space="preserve">Samostatné věci a soubory samostatných movitých věcí </w:t>
            </w:r>
          </w:p>
        </w:tc>
        <w:tc>
          <w:tcPr>
            <w:tcW w:w="3334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>1 095</w:t>
            </w:r>
          </w:p>
        </w:tc>
        <w:tc>
          <w:tcPr>
            <w:tcW w:w="2758" w:type="dxa"/>
          </w:tcPr>
          <w:p w:rsidR="0067056D" w:rsidRPr="0067056D" w:rsidRDefault="0067056D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67056D">
              <w:rPr>
                <w:rFonts w:ascii="Arial" w:hAnsi="Arial" w:cs="Arial"/>
                <w:bCs/>
                <w:sz w:val="20"/>
              </w:rPr>
              <w:t>1 268</w:t>
            </w:r>
          </w:p>
        </w:tc>
      </w:tr>
    </w:tbl>
    <w:p w:rsidR="00B82EDF" w:rsidRPr="00430EC3" w:rsidRDefault="00B82EDF" w:rsidP="00B82EDF">
      <w:pPr>
        <w:pStyle w:val="Normln3"/>
        <w:widowControl/>
        <w:spacing w:before="120"/>
        <w:rPr>
          <w:sz w:val="22"/>
          <w:szCs w:val="22"/>
        </w:rPr>
      </w:pPr>
      <w:r w:rsidRPr="00430EC3">
        <w:rPr>
          <w:b/>
          <w:sz w:val="22"/>
          <w:szCs w:val="22"/>
        </w:rPr>
        <w:t>e) Pořízení dlouhodobého majetku v tis. Kč u vybraných skupin</w:t>
      </w:r>
    </w:p>
    <w:tbl>
      <w:tblPr>
        <w:tblpPr w:leftFromText="141" w:rightFromText="141" w:vertAnchor="text" w:tblpY="1"/>
        <w:tblOverlap w:val="never"/>
        <w:tblW w:w="943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0"/>
        <w:gridCol w:w="1953"/>
        <w:gridCol w:w="667"/>
        <w:gridCol w:w="2938"/>
        <w:gridCol w:w="1305"/>
      </w:tblGrid>
      <w:tr w:rsidR="00B82EDF" w:rsidRPr="00430EC3" w:rsidTr="00522E2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 xml:space="preserve">Investiční výstavbou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 xml:space="preserve">Koupí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Bezúplatným převodem, darem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 xml:space="preserve">Jinou formou </w:t>
            </w:r>
          </w:p>
        </w:tc>
      </w:tr>
      <w:tr w:rsidR="00B82EDF" w:rsidRPr="00430EC3" w:rsidTr="00522E21">
        <w:trPr>
          <w:trHeight w:val="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Nehmotný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 xml:space="preserve">                       0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0</w:t>
            </w:r>
          </w:p>
        </w:tc>
      </w:tr>
      <w:tr w:rsidR="00B82EDF" w:rsidRPr="00430EC3" w:rsidTr="00522E21">
        <w:trPr>
          <w:trHeight w:val="2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 xml:space="preserve">            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1 472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65</w:t>
            </w:r>
          </w:p>
        </w:tc>
      </w:tr>
      <w:tr w:rsidR="00B82EDF" w:rsidRPr="00430EC3" w:rsidTr="00522E21">
        <w:trPr>
          <w:trHeight w:val="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Stavby</w:t>
            </w:r>
            <w:r w:rsidR="00D47AEA" w:rsidRPr="00430EC3">
              <w:rPr>
                <w:rFonts w:ascii="Arial" w:hAnsi="Arial" w:cs="Arial"/>
                <w:sz w:val="20"/>
              </w:rPr>
              <w:t>, budovy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3 372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50 668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12 745</w:t>
            </w:r>
          </w:p>
        </w:tc>
      </w:tr>
      <w:tr w:rsidR="00B82EDF" w:rsidRPr="00430EC3" w:rsidTr="00522E21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 xml:space="preserve">Samostatné věci a soubory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1 035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430EC3">
              <w:rPr>
                <w:rFonts w:ascii="Arial" w:hAnsi="Arial" w:cs="Arial"/>
                <w:sz w:val="20"/>
              </w:rPr>
              <w:t>0</w:t>
            </w:r>
          </w:p>
        </w:tc>
      </w:tr>
    </w:tbl>
    <w:p w:rsidR="001719FC" w:rsidRPr="00430EC3" w:rsidRDefault="001719FC" w:rsidP="001719FC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  <w:r w:rsidRPr="00430EC3">
        <w:rPr>
          <w:sz w:val="22"/>
          <w:szCs w:val="22"/>
        </w:rPr>
        <w:t>U přírůstku nehmotného majetku se jedná o nákup softwaru</w:t>
      </w:r>
    </w:p>
    <w:p w:rsidR="001719FC" w:rsidRPr="00430EC3" w:rsidRDefault="001719FC" w:rsidP="001719FC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  <w:r w:rsidRPr="00430EC3">
        <w:rPr>
          <w:sz w:val="22"/>
          <w:szCs w:val="22"/>
        </w:rPr>
        <w:t>U pořízení pozemků koupí se jedná o odkup pozemků v ul. Dolení a za kulturním domem).</w:t>
      </w:r>
    </w:p>
    <w:p w:rsidR="001719FC" w:rsidRPr="00430EC3" w:rsidRDefault="001719FC" w:rsidP="001719FC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  <w:r w:rsidRPr="00430EC3">
        <w:rPr>
          <w:sz w:val="22"/>
          <w:szCs w:val="22"/>
        </w:rPr>
        <w:t>Bezúplatný převod pozemků se týká vrácení svěřeného majetku zřizovateli po zrušené příspěvkové organizaci Sportovní centrum a dále darů podílů pozemků v lokalitě Hrabačov od fyzických osob.</w:t>
      </w:r>
    </w:p>
    <w:p w:rsidR="001719FC" w:rsidRPr="00430EC3" w:rsidRDefault="001719FC" w:rsidP="001719FC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  <w:r w:rsidRPr="00430EC3">
        <w:rPr>
          <w:sz w:val="22"/>
          <w:szCs w:val="22"/>
        </w:rPr>
        <w:t xml:space="preserve">U pořízení staveb investiční výstavbou se jedná o prodloužení komunikací Lyžařská, Polní a přístřešek pro požární ochranu. </w:t>
      </w:r>
    </w:p>
    <w:p w:rsidR="00430EC3" w:rsidRPr="00430EC3" w:rsidRDefault="00430EC3" w:rsidP="001719FC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  <w:r w:rsidRPr="00430EC3">
        <w:rPr>
          <w:sz w:val="22"/>
          <w:szCs w:val="22"/>
        </w:rPr>
        <w:t>Částka 12.745 tis. Kč – pořízení staveb jinou formou a ostatní úbytek staveb představuje administrativní převod v evidenci majetku</w:t>
      </w:r>
      <w:r>
        <w:rPr>
          <w:sz w:val="22"/>
          <w:szCs w:val="22"/>
        </w:rPr>
        <w:t xml:space="preserve"> (vyvázání zástavního práva čp. 1000,1001)</w:t>
      </w:r>
    </w:p>
    <w:p w:rsidR="00D47AEA" w:rsidRPr="00430EC3" w:rsidRDefault="00D47AEA" w:rsidP="001719FC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  <w:r w:rsidRPr="00430EC3">
        <w:rPr>
          <w:sz w:val="22"/>
          <w:szCs w:val="22"/>
        </w:rPr>
        <w:t>Pořízení staveb a budov b</w:t>
      </w:r>
      <w:r w:rsidR="001719FC" w:rsidRPr="00430EC3">
        <w:rPr>
          <w:sz w:val="22"/>
          <w:szCs w:val="22"/>
        </w:rPr>
        <w:t xml:space="preserve">ezúplatným převodem </w:t>
      </w:r>
      <w:r w:rsidRPr="00430EC3">
        <w:rPr>
          <w:sz w:val="22"/>
          <w:szCs w:val="22"/>
        </w:rPr>
        <w:t>se týká vrácení svěřeného majetku zřizovateli po zrušené příspěvkové organizaci Sportovní centrum</w:t>
      </w:r>
      <w:r w:rsidR="00AA17D4" w:rsidRPr="00430EC3">
        <w:rPr>
          <w:sz w:val="22"/>
          <w:szCs w:val="22"/>
        </w:rPr>
        <w:t xml:space="preserve">. </w:t>
      </w:r>
    </w:p>
    <w:p w:rsidR="001719FC" w:rsidRPr="00430EC3" w:rsidRDefault="001719FC" w:rsidP="001719FC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  <w:r w:rsidRPr="00430EC3">
        <w:rPr>
          <w:sz w:val="22"/>
          <w:szCs w:val="22"/>
        </w:rPr>
        <w:t xml:space="preserve">U pořízení samostatné věci a soubory samostatných věcí koupí se jedná o nákup automobilů, nákup počítačů, tiskáren a vybavení do kanceláří a bezpečnostního informačního systému pro městskou polici. </w:t>
      </w:r>
    </w:p>
    <w:p w:rsidR="00B82EDF" w:rsidRPr="00430EC3" w:rsidRDefault="00B82EDF" w:rsidP="00B82EDF">
      <w:pPr>
        <w:pStyle w:val="Normln2"/>
        <w:widowControl/>
        <w:spacing w:before="120" w:line="240" w:lineRule="atLeast"/>
        <w:rPr>
          <w:sz w:val="22"/>
          <w:szCs w:val="22"/>
        </w:rPr>
      </w:pPr>
      <w:r w:rsidRPr="00430EC3">
        <w:rPr>
          <w:b/>
          <w:sz w:val="22"/>
          <w:szCs w:val="22"/>
        </w:rPr>
        <w:t>f) Vyřazení dlouhodobého majetku v tis. Kč u vybraných skupin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1276"/>
        <w:gridCol w:w="2126"/>
        <w:gridCol w:w="1134"/>
        <w:gridCol w:w="1418"/>
      </w:tblGrid>
      <w:tr w:rsidR="00B82EDF" w:rsidRPr="00430EC3" w:rsidTr="00522E21">
        <w:tc>
          <w:tcPr>
            <w:tcW w:w="2055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Prodej </w:t>
            </w:r>
          </w:p>
        </w:tc>
        <w:tc>
          <w:tcPr>
            <w:tcW w:w="1276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30EC3">
              <w:rPr>
                <w:rFonts w:ascii="Arial" w:hAnsi="Arial" w:cs="Arial"/>
                <w:bCs/>
                <w:sz w:val="16"/>
                <w:szCs w:val="16"/>
              </w:rPr>
              <w:t xml:space="preserve">Likvidace </w:t>
            </w:r>
          </w:p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16"/>
                <w:szCs w:val="16"/>
              </w:rPr>
              <w:t>Ostatní .úbytky</w:t>
            </w:r>
          </w:p>
        </w:tc>
        <w:tc>
          <w:tcPr>
            <w:tcW w:w="2126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30EC3">
              <w:rPr>
                <w:rFonts w:ascii="Arial" w:hAnsi="Arial" w:cs="Arial"/>
                <w:bCs/>
                <w:sz w:val="16"/>
                <w:szCs w:val="16"/>
              </w:rPr>
              <w:t>Bezúplatným převodem, darem, převod na základě právních předpisů</w:t>
            </w:r>
          </w:p>
        </w:tc>
        <w:tc>
          <w:tcPr>
            <w:tcW w:w="1134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>Vklad</w:t>
            </w:r>
          </w:p>
        </w:tc>
        <w:tc>
          <w:tcPr>
            <w:tcW w:w="1418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30EC3">
              <w:rPr>
                <w:rFonts w:ascii="Arial" w:hAnsi="Arial" w:cs="Arial"/>
                <w:bCs/>
                <w:sz w:val="16"/>
                <w:szCs w:val="16"/>
              </w:rPr>
              <w:t>Manko, škoda Zmařená investice</w:t>
            </w:r>
          </w:p>
        </w:tc>
      </w:tr>
      <w:tr w:rsidR="00B82EDF" w:rsidRPr="00430EC3" w:rsidTr="00522E21">
        <w:tc>
          <w:tcPr>
            <w:tcW w:w="2055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>Nehmotný</w:t>
            </w:r>
          </w:p>
        </w:tc>
        <w:tc>
          <w:tcPr>
            <w:tcW w:w="1417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                0</w:t>
            </w:r>
          </w:p>
        </w:tc>
        <w:tc>
          <w:tcPr>
            <w:tcW w:w="1276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113   </w:t>
            </w:r>
          </w:p>
        </w:tc>
        <w:tc>
          <w:tcPr>
            <w:tcW w:w="2126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                         0</w:t>
            </w:r>
          </w:p>
        </w:tc>
        <w:tc>
          <w:tcPr>
            <w:tcW w:w="1134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0                   </w:t>
            </w:r>
          </w:p>
        </w:tc>
        <w:tc>
          <w:tcPr>
            <w:tcW w:w="1418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             0</w:t>
            </w:r>
          </w:p>
        </w:tc>
      </w:tr>
      <w:tr w:rsidR="00B82EDF" w:rsidRPr="00430EC3" w:rsidTr="00522E21">
        <w:tc>
          <w:tcPr>
            <w:tcW w:w="2055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>Pozemky</w:t>
            </w:r>
          </w:p>
        </w:tc>
        <w:tc>
          <w:tcPr>
            <w:tcW w:w="1417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>83</w:t>
            </w:r>
          </w:p>
        </w:tc>
        <w:tc>
          <w:tcPr>
            <w:tcW w:w="1276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>65</w:t>
            </w:r>
          </w:p>
        </w:tc>
        <w:tc>
          <w:tcPr>
            <w:tcW w:w="2126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>35</w:t>
            </w:r>
          </w:p>
        </w:tc>
        <w:tc>
          <w:tcPr>
            <w:tcW w:w="1134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1 787                    </w:t>
            </w:r>
          </w:p>
        </w:tc>
        <w:tc>
          <w:tcPr>
            <w:tcW w:w="1418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              0</w:t>
            </w:r>
          </w:p>
        </w:tc>
      </w:tr>
      <w:tr w:rsidR="00B82EDF" w:rsidRPr="00430EC3" w:rsidTr="00522E21">
        <w:tc>
          <w:tcPr>
            <w:tcW w:w="2055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>Stavby</w:t>
            </w:r>
          </w:p>
        </w:tc>
        <w:tc>
          <w:tcPr>
            <w:tcW w:w="1417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>1 876</w:t>
            </w:r>
          </w:p>
        </w:tc>
        <w:tc>
          <w:tcPr>
            <w:tcW w:w="1276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>14 889</w:t>
            </w:r>
          </w:p>
        </w:tc>
        <w:tc>
          <w:tcPr>
            <w:tcW w:w="2126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>25 219</w:t>
            </w:r>
          </w:p>
        </w:tc>
        <w:tc>
          <w:tcPr>
            <w:tcW w:w="1134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   479 682              </w:t>
            </w:r>
          </w:p>
        </w:tc>
        <w:tc>
          <w:tcPr>
            <w:tcW w:w="1418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              0 </w:t>
            </w:r>
          </w:p>
        </w:tc>
      </w:tr>
      <w:tr w:rsidR="00B82EDF" w:rsidRPr="00430EC3" w:rsidTr="00522E21">
        <w:tc>
          <w:tcPr>
            <w:tcW w:w="2055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Samostatné věci a soubory  věcí </w:t>
            </w:r>
          </w:p>
        </w:tc>
        <w:tc>
          <w:tcPr>
            <w:tcW w:w="1417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499     </w:t>
            </w:r>
          </w:p>
        </w:tc>
        <w:tc>
          <w:tcPr>
            <w:tcW w:w="1276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>769</w:t>
            </w:r>
          </w:p>
        </w:tc>
        <w:tc>
          <w:tcPr>
            <w:tcW w:w="2126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1134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   0        </w:t>
            </w:r>
          </w:p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8" w:type="dxa"/>
          </w:tcPr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0     </w:t>
            </w:r>
          </w:p>
          <w:p w:rsidR="00B82EDF" w:rsidRPr="00430EC3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              </w:t>
            </w:r>
          </w:p>
        </w:tc>
      </w:tr>
    </w:tbl>
    <w:p w:rsidR="00D47AEA" w:rsidRPr="00430EC3" w:rsidRDefault="00D47AEA" w:rsidP="00D47AEA">
      <w:pPr>
        <w:pStyle w:val="Normln2"/>
        <w:widowControl/>
        <w:spacing w:before="120" w:line="240" w:lineRule="atLeast"/>
      </w:pPr>
      <w:r w:rsidRPr="00430EC3">
        <w:t>U úbytků nehmotného majetku likvidací se jedná o vyřazení starých softwarů.</w:t>
      </w:r>
    </w:p>
    <w:p w:rsidR="00D47AEA" w:rsidRPr="00430EC3" w:rsidRDefault="00D47AEA" w:rsidP="00D47AEA">
      <w:pPr>
        <w:pStyle w:val="Normln2"/>
        <w:widowControl/>
        <w:spacing w:before="120" w:line="240" w:lineRule="atLeast"/>
      </w:pPr>
      <w:r w:rsidRPr="00430EC3">
        <w:t xml:space="preserve">U úbytků pozemků prodejem – prodej částí parcel </w:t>
      </w:r>
    </w:p>
    <w:p w:rsidR="00D47AEA" w:rsidRPr="00430EC3" w:rsidRDefault="00D47AEA" w:rsidP="00D47AEA">
      <w:pPr>
        <w:pStyle w:val="Normln2"/>
        <w:widowControl/>
        <w:spacing w:before="120" w:line="240" w:lineRule="atLeast"/>
      </w:pPr>
      <w:r w:rsidRPr="00430EC3">
        <w:t>U úbytků staveb prodejem se jedná o  byty v Zámecké ul. čp. 59 a čp.60</w:t>
      </w:r>
    </w:p>
    <w:p w:rsidR="00D47AEA" w:rsidRPr="00430EC3" w:rsidRDefault="00D47AEA" w:rsidP="00D47AEA">
      <w:pPr>
        <w:pStyle w:val="Normln2"/>
        <w:widowControl/>
        <w:spacing w:before="120" w:line="240" w:lineRule="atLeast"/>
      </w:pPr>
      <w:r w:rsidRPr="00430EC3">
        <w:t xml:space="preserve">U úbytků staveb likvidací se jedná o likvidaci Lyžařského vleku Kozinec, kanalizace, schody u ISZ, základní deska odpařovací stanice, vnějších potrubních rozvodů a opěrná zeď u parkoviště </w:t>
      </w:r>
    </w:p>
    <w:p w:rsidR="00D47AEA" w:rsidRPr="00430EC3" w:rsidRDefault="00D47AEA" w:rsidP="00D47AEA">
      <w:pPr>
        <w:pStyle w:val="Normln2"/>
        <w:widowControl/>
        <w:spacing w:before="120" w:line="240" w:lineRule="atLeast"/>
      </w:pPr>
      <w:r w:rsidRPr="00430EC3">
        <w:t>U úbytků bezúplatným převodem staveb se jedná svěření majetku (čp. 101) do správy ZŠ Komenského, příspěvkové organizaci.</w:t>
      </w:r>
    </w:p>
    <w:p w:rsidR="00D47AEA" w:rsidRPr="00430EC3" w:rsidRDefault="00D47AEA" w:rsidP="00D47AEA">
      <w:pPr>
        <w:pStyle w:val="Normln2"/>
        <w:widowControl/>
        <w:spacing w:before="120" w:line="240" w:lineRule="atLeast"/>
      </w:pPr>
      <w:r w:rsidRPr="00430EC3">
        <w:t>U úbytků staveb vkladem se jedná o vklad do zřízených společností SC s.r.o. a  MMN, a.s.</w:t>
      </w:r>
    </w:p>
    <w:p w:rsidR="00D47AEA" w:rsidRPr="00430EC3" w:rsidRDefault="00D47AEA" w:rsidP="00D47AEA">
      <w:pPr>
        <w:pStyle w:val="Normln2"/>
        <w:widowControl/>
        <w:spacing w:before="120" w:line="240" w:lineRule="atLeast"/>
      </w:pPr>
      <w:r w:rsidRPr="00430EC3">
        <w:lastRenderedPageBreak/>
        <w:t>U úbytků samostatných věcí a souborů se jedná především o prodej a likvidaci  - počítače, tiskárny a drobné vybavení kanceláří.</w:t>
      </w:r>
    </w:p>
    <w:p w:rsidR="00B82EDF" w:rsidRPr="00B82EDF" w:rsidRDefault="00B82EDF" w:rsidP="00B82EDF">
      <w:pPr>
        <w:pStyle w:val="Normln2"/>
        <w:widowControl/>
        <w:spacing w:before="120" w:line="240" w:lineRule="atLeast"/>
        <w:rPr>
          <w:b/>
        </w:rPr>
      </w:pPr>
      <w:r w:rsidRPr="00B82EDF">
        <w:rPr>
          <w:b/>
        </w:rPr>
        <w:t>g) Pohledávky: stav k 31. 12. 2017</w:t>
      </w:r>
    </w:p>
    <w:p w:rsidR="00B82EDF" w:rsidRPr="00B82EDF" w:rsidRDefault="00B82EDF" w:rsidP="00B82EDF">
      <w:pPr>
        <w:jc w:val="both"/>
        <w:rPr>
          <w:sz w:val="24"/>
        </w:rPr>
      </w:pPr>
      <w:r w:rsidRPr="00B82EDF">
        <w:rPr>
          <w:sz w:val="24"/>
        </w:rPr>
        <w:t xml:space="preserve">účet 311 odběratelé: 3.282 tis. Kč, z toho bytové hospodářství 2.650 tis. Kč </w:t>
      </w:r>
    </w:p>
    <w:p w:rsidR="00B82EDF" w:rsidRPr="00B82EDF" w:rsidRDefault="00B82EDF" w:rsidP="00B82EDF">
      <w:pPr>
        <w:rPr>
          <w:sz w:val="24"/>
        </w:rPr>
      </w:pPr>
      <w:r w:rsidRPr="00B82EDF">
        <w:rPr>
          <w:sz w:val="24"/>
        </w:rPr>
        <w:t>účet 315 pohledávky ze správních činností (sankční platby, místní poplatky):  5.367 tis. Kč</w:t>
      </w:r>
    </w:p>
    <w:p w:rsidR="00B82EDF" w:rsidRPr="00B82EDF" w:rsidRDefault="00B82EDF" w:rsidP="00B82EDF">
      <w:pPr>
        <w:rPr>
          <w:b/>
          <w:sz w:val="24"/>
        </w:rPr>
      </w:pPr>
      <w:r w:rsidRPr="00B82EDF">
        <w:rPr>
          <w:b/>
          <w:sz w:val="24"/>
        </w:rPr>
        <w:t>h) Závazky: stav k 31. 12. 2017</w:t>
      </w:r>
    </w:p>
    <w:p w:rsidR="00B82EDF" w:rsidRPr="00B82EDF" w:rsidRDefault="00B82EDF" w:rsidP="00B82EDF">
      <w:pPr>
        <w:jc w:val="both"/>
        <w:rPr>
          <w:sz w:val="24"/>
        </w:rPr>
      </w:pPr>
      <w:r w:rsidRPr="00B82EDF">
        <w:rPr>
          <w:sz w:val="24"/>
        </w:rPr>
        <w:t>účet 321 dodavatelé: 5.971 tis. Kč, z toho po době splatnosti 0</w:t>
      </w:r>
    </w:p>
    <w:p w:rsidR="00B82EDF" w:rsidRPr="00B82EDF" w:rsidRDefault="00B82EDF" w:rsidP="00B82EDF">
      <w:pPr>
        <w:rPr>
          <w:sz w:val="24"/>
        </w:rPr>
      </w:pPr>
      <w:r w:rsidRPr="00B82EDF">
        <w:rPr>
          <w:sz w:val="24"/>
        </w:rPr>
        <w:t xml:space="preserve">účet 451 dlouhodobé úvěry:    0 </w:t>
      </w:r>
    </w:p>
    <w:p w:rsidR="00B82EDF" w:rsidRDefault="00B82EDF" w:rsidP="00B82EDF">
      <w:pPr>
        <w:jc w:val="both"/>
        <w:rPr>
          <w:sz w:val="24"/>
        </w:rPr>
      </w:pPr>
      <w:r w:rsidRPr="00B82EDF">
        <w:rPr>
          <w:sz w:val="24"/>
        </w:rPr>
        <w:t>účet 459 ostatní dlouhodobé závazky: 57.582 tis. Kč (splacené budoucí kupní ceny bytů)</w:t>
      </w:r>
    </w:p>
    <w:p w:rsidR="00335A33" w:rsidRDefault="00335A33" w:rsidP="00335A33">
      <w:pPr>
        <w:rPr>
          <w:sz w:val="24"/>
        </w:rPr>
      </w:pPr>
    </w:p>
    <w:p w:rsidR="00092014" w:rsidRPr="00D42BC4" w:rsidRDefault="00B929EA" w:rsidP="00B929EA">
      <w:pPr>
        <w:rPr>
          <w:b/>
          <w:sz w:val="24"/>
        </w:rPr>
      </w:pPr>
      <w:r>
        <w:rPr>
          <w:b/>
          <w:sz w:val="24"/>
        </w:rPr>
        <w:t>3) Tvorba a použití účelových fondů</w:t>
      </w:r>
      <w:r w:rsidR="00131904" w:rsidRPr="008D6BA0">
        <w:rPr>
          <w:b/>
          <w:sz w:val="24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1380"/>
        <w:gridCol w:w="5021"/>
      </w:tblGrid>
      <w:tr w:rsidR="000C17AD" w:rsidRPr="008C4587" w:rsidTr="003A7F3A">
        <w:trPr>
          <w:trHeight w:val="36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FA778B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8C4587">
              <w:rPr>
                <w:rFonts w:ascii="Arial" w:hAnsi="Arial" w:cs="Arial"/>
                <w:b/>
                <w:bCs/>
              </w:rPr>
              <w:t>Zpráva o tvorbě a použití fondu rezerv a rozvoje za rok 201</w:t>
            </w:r>
            <w:r w:rsidR="00FA778B">
              <w:rPr>
                <w:rFonts w:ascii="Arial" w:hAnsi="Arial" w:cs="Arial"/>
                <w:b/>
                <w:bCs/>
              </w:rPr>
              <w:t>7</w:t>
            </w:r>
            <w:r w:rsidRPr="008C4587">
              <w:rPr>
                <w:rFonts w:ascii="Arial" w:hAnsi="Arial" w:cs="Arial"/>
                <w:b/>
                <w:bCs/>
              </w:rPr>
              <w:t xml:space="preserve"> (údaje v Kč)</w:t>
            </w:r>
          </w:p>
        </w:tc>
      </w:tr>
      <w:tr w:rsidR="000C17AD" w:rsidRPr="008C4587" w:rsidTr="003A7F3A">
        <w:trPr>
          <w:trHeight w:val="25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 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 xml:space="preserve">Poznámka </w:t>
            </w:r>
          </w:p>
        </w:tc>
      </w:tr>
      <w:tr w:rsidR="000C17AD" w:rsidRPr="008C4587" w:rsidTr="003A7F3A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FA778B">
            <w:pPr>
              <w:rPr>
                <w:rFonts w:ascii="Arial" w:hAnsi="Arial" w:cs="Arial"/>
                <w:b/>
              </w:rPr>
            </w:pPr>
            <w:r w:rsidRPr="008C4587">
              <w:rPr>
                <w:rFonts w:ascii="Arial" w:hAnsi="Arial" w:cs="Arial"/>
                <w:b/>
              </w:rPr>
              <w:t>Počáteční stav k 1.</w:t>
            </w:r>
            <w:r w:rsidR="00B65AC0">
              <w:rPr>
                <w:rFonts w:ascii="Arial" w:hAnsi="Arial" w:cs="Arial"/>
                <w:b/>
              </w:rPr>
              <w:t xml:space="preserve"> </w:t>
            </w:r>
            <w:r w:rsidRPr="008C4587">
              <w:rPr>
                <w:rFonts w:ascii="Arial" w:hAnsi="Arial" w:cs="Arial"/>
                <w:b/>
              </w:rPr>
              <w:t>1.</w:t>
            </w:r>
            <w:r w:rsidR="00B65AC0">
              <w:rPr>
                <w:rFonts w:ascii="Arial" w:hAnsi="Arial" w:cs="Arial"/>
                <w:b/>
              </w:rPr>
              <w:t xml:space="preserve"> </w:t>
            </w:r>
            <w:r w:rsidRPr="008C4587">
              <w:rPr>
                <w:rFonts w:ascii="Arial" w:hAnsi="Arial" w:cs="Arial"/>
                <w:b/>
              </w:rPr>
              <w:t>201</w:t>
            </w:r>
            <w:r w:rsidR="00FA778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jc w:val="right"/>
              <w:rPr>
                <w:rFonts w:ascii="Arial" w:hAnsi="Arial" w:cs="Arial"/>
                <w:b/>
                <w:bCs/>
              </w:rPr>
            </w:pPr>
            <w:r w:rsidRPr="008C4587">
              <w:rPr>
                <w:rFonts w:ascii="Arial" w:hAnsi="Arial" w:cs="Arial"/>
                <w:b/>
                <w:bCs/>
              </w:rPr>
              <w:t xml:space="preserve">2 887 216,43 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 </w:t>
            </w:r>
          </w:p>
        </w:tc>
      </w:tr>
      <w:tr w:rsidR="000C17AD" w:rsidRPr="008C4587" w:rsidTr="003A7F3A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Tvorba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jc w:val="right"/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 </w:t>
            </w:r>
          </w:p>
        </w:tc>
      </w:tr>
      <w:tr w:rsidR="000C17AD" w:rsidRPr="008C4587" w:rsidTr="003A7F3A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Výdaje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jc w:val="right"/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FA1760" w:rsidP="00FA778B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v roce 201</w:t>
            </w:r>
            <w:r w:rsidR="00FA778B">
              <w:rPr>
                <w:rFonts w:ascii="Arial" w:hAnsi="Arial" w:cs="Arial"/>
              </w:rPr>
              <w:t>7</w:t>
            </w:r>
            <w:r w:rsidR="000C17AD" w:rsidRPr="008C4587">
              <w:rPr>
                <w:rFonts w:ascii="Arial" w:hAnsi="Arial" w:cs="Arial"/>
              </w:rPr>
              <w:t xml:space="preserve"> nedošlo k použití fondu rezerv a rozvoje</w:t>
            </w:r>
          </w:p>
        </w:tc>
      </w:tr>
      <w:tr w:rsidR="000C17AD" w:rsidRPr="008C4587" w:rsidTr="003A7F3A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FA1760" w:rsidP="00FA778B">
            <w:pPr>
              <w:rPr>
                <w:rFonts w:ascii="Arial" w:hAnsi="Arial" w:cs="Arial"/>
                <w:b/>
                <w:bCs/>
              </w:rPr>
            </w:pPr>
            <w:r w:rsidRPr="008C4587">
              <w:rPr>
                <w:rFonts w:ascii="Arial" w:hAnsi="Arial" w:cs="Arial"/>
                <w:b/>
                <w:bCs/>
              </w:rPr>
              <w:t>KS fondu k 31.</w:t>
            </w:r>
            <w:r w:rsidR="00B65AC0">
              <w:rPr>
                <w:rFonts w:ascii="Arial" w:hAnsi="Arial" w:cs="Arial"/>
                <w:b/>
                <w:bCs/>
              </w:rPr>
              <w:t xml:space="preserve"> </w:t>
            </w:r>
            <w:r w:rsidRPr="008C4587">
              <w:rPr>
                <w:rFonts w:ascii="Arial" w:hAnsi="Arial" w:cs="Arial"/>
                <w:b/>
                <w:bCs/>
              </w:rPr>
              <w:t>12.</w:t>
            </w:r>
            <w:r w:rsidR="00B65AC0">
              <w:rPr>
                <w:rFonts w:ascii="Arial" w:hAnsi="Arial" w:cs="Arial"/>
                <w:b/>
                <w:bCs/>
              </w:rPr>
              <w:t xml:space="preserve"> </w:t>
            </w:r>
            <w:r w:rsidRPr="008C4587">
              <w:rPr>
                <w:rFonts w:ascii="Arial" w:hAnsi="Arial" w:cs="Arial"/>
                <w:b/>
                <w:bCs/>
              </w:rPr>
              <w:t>201</w:t>
            </w:r>
            <w:r w:rsidR="00FA778B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jc w:val="right"/>
              <w:rPr>
                <w:rFonts w:ascii="Arial" w:hAnsi="Arial" w:cs="Arial"/>
                <w:b/>
                <w:bCs/>
              </w:rPr>
            </w:pPr>
            <w:r w:rsidRPr="008C4587">
              <w:rPr>
                <w:rFonts w:ascii="Arial" w:hAnsi="Arial" w:cs="Arial"/>
                <w:b/>
                <w:bCs/>
              </w:rPr>
              <w:t xml:space="preserve">2 887 216,43 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 </w:t>
            </w:r>
          </w:p>
        </w:tc>
      </w:tr>
    </w:tbl>
    <w:p w:rsidR="000C17AD" w:rsidRPr="008C4587" w:rsidRDefault="000C17AD">
      <w:pPr>
        <w:rPr>
          <w:sz w:val="24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4394"/>
      </w:tblGrid>
      <w:tr w:rsidR="000C17AD" w:rsidRPr="008C4587" w:rsidTr="003A7F3A">
        <w:trPr>
          <w:trHeight w:val="36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AD" w:rsidRPr="00BA01D4" w:rsidRDefault="000C17AD" w:rsidP="00335A33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BA01D4">
              <w:rPr>
                <w:rFonts w:ascii="Arial" w:hAnsi="Arial" w:cs="Arial"/>
                <w:b/>
                <w:bCs/>
              </w:rPr>
              <w:t>Zpráva o tvorbě a použití sociálního fondu za rok 201</w:t>
            </w:r>
            <w:r w:rsidR="00FA778B">
              <w:rPr>
                <w:rFonts w:ascii="Arial" w:hAnsi="Arial" w:cs="Arial"/>
                <w:b/>
                <w:bCs/>
              </w:rPr>
              <w:t>7</w:t>
            </w:r>
            <w:r w:rsidR="00773868" w:rsidRPr="00BA01D4">
              <w:rPr>
                <w:rFonts w:ascii="Arial" w:hAnsi="Arial" w:cs="Arial"/>
                <w:b/>
                <w:bCs/>
              </w:rPr>
              <w:t xml:space="preserve"> </w:t>
            </w:r>
            <w:r w:rsidRPr="00BA01D4">
              <w:rPr>
                <w:rFonts w:ascii="Arial" w:hAnsi="Arial" w:cs="Arial"/>
                <w:b/>
                <w:bCs/>
              </w:rPr>
              <w:t>(údaje v Kč)</w:t>
            </w:r>
          </w:p>
        </w:tc>
      </w:tr>
      <w:tr w:rsidR="000C17AD" w:rsidRPr="008C4587" w:rsidTr="00EC03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BA01D4" w:rsidRDefault="000C17AD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BA01D4" w:rsidRDefault="000C17AD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BA01D4" w:rsidRDefault="000C17AD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 xml:space="preserve">Poznámka </w:t>
            </w:r>
          </w:p>
        </w:tc>
      </w:tr>
      <w:tr w:rsidR="00FA778B" w:rsidRPr="008C4587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Počáteční stav k 1.1.2017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760 338,31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Pr="00BA01D4" w:rsidRDefault="00FA778B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FA778B" w:rsidRPr="008C4587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Tvorba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750 000,00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Pr="00BA01D4" w:rsidRDefault="00FA778B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dle rozpočtu města</w:t>
            </w:r>
          </w:p>
        </w:tc>
      </w:tr>
      <w:tr w:rsidR="00FA778B" w:rsidRPr="008C4587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Příjmy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6 147,00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Pr="00BA01D4" w:rsidRDefault="00FA778B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úroky, náhrady</w:t>
            </w:r>
          </w:p>
        </w:tc>
      </w:tr>
      <w:tr w:rsidR="00FA778B" w:rsidRPr="008C4587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Celkem příjmy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756 147,00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Pr="00BA01D4" w:rsidRDefault="00FA778B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FA778B" w:rsidRPr="008C4587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Základní čerpání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169 591,30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Pr="00BA01D4" w:rsidRDefault="00FA778B" w:rsidP="00FA778B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čerpání soc. fondu se řídí směrnicí č.</w:t>
            </w:r>
            <w:r>
              <w:rPr>
                <w:rFonts w:ascii="Arial" w:hAnsi="Arial" w:cs="Arial"/>
              </w:rPr>
              <w:t>3/2017</w:t>
            </w:r>
          </w:p>
        </w:tc>
      </w:tr>
      <w:tr w:rsidR="00FA778B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Příspěvek na stravování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198 214,39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Pr="00BA01D4" w:rsidRDefault="00FA778B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FA778B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Příspěvek na dovolenou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145 030,00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Pr="00BA01D4" w:rsidRDefault="00FA778B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FA778B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Příspěvek na penzijní připojištění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50 400,00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Pr="00BA01D4" w:rsidRDefault="00FA778B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FA778B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Ošatné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104 460,00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Pr="00BA01D4" w:rsidRDefault="00FA778B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FA778B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Věcné dary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18 500,00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Pr="00BA01D4" w:rsidRDefault="00FA778B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FA778B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Výdaje ze společné části fondu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27 977,00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Pr="00BA01D4" w:rsidRDefault="00FA778B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FA778B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Celkem výdaje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Default="00FA778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714 172,69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8B" w:rsidRPr="00BA01D4" w:rsidRDefault="00FA778B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335A33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 w:rsidP="00FA77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Konečný stav fondu k 31.</w:t>
            </w:r>
            <w:r w:rsidR="00B65AC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12.</w:t>
            </w:r>
            <w:r w:rsidR="00B65AC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201</w:t>
            </w:r>
            <w:r w:rsidR="00FA778B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FA778B" w:rsidP="00FA778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802 312,62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773868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</w:tbl>
    <w:p w:rsidR="000C17AD" w:rsidRPr="00A61173" w:rsidRDefault="000C17AD">
      <w:pPr>
        <w:rPr>
          <w:sz w:val="24"/>
          <w:highlight w:val="yellow"/>
        </w:rPr>
      </w:pP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0"/>
      </w:tblGrid>
      <w:tr w:rsidR="0024315E" w:rsidRPr="0024315E" w:rsidTr="000C17AD">
        <w:trPr>
          <w:trHeight w:val="36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1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80"/>
              <w:gridCol w:w="1476"/>
              <w:gridCol w:w="4761"/>
            </w:tblGrid>
            <w:tr w:rsidR="000C17AD" w:rsidRPr="006A6FB9" w:rsidTr="003A7F3A">
              <w:trPr>
                <w:trHeight w:val="360"/>
              </w:trPr>
              <w:tc>
                <w:tcPr>
                  <w:tcW w:w="9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802AA2">
                  <w:pPr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Zpráva o tvorbě a pou</w:t>
                  </w:r>
                  <w:r w:rsidR="00D42BC4" w:rsidRPr="00802AA2">
                    <w:rPr>
                      <w:rFonts w:ascii="Arial" w:hAnsi="Arial" w:cs="Arial"/>
                      <w:b/>
                      <w:bCs/>
                    </w:rPr>
                    <w:t>žití krizového fondu za rok 201</w:t>
                  </w:r>
                  <w:r w:rsidR="00E63626">
                    <w:rPr>
                      <w:rFonts w:ascii="Arial" w:hAnsi="Arial" w:cs="Arial"/>
                      <w:b/>
                      <w:bCs/>
                    </w:rPr>
                    <w:t>7</w:t>
                  </w:r>
                  <w:r w:rsidRPr="00802AA2">
                    <w:rPr>
                      <w:rFonts w:ascii="Arial" w:hAnsi="Arial" w:cs="Arial"/>
                      <w:b/>
                      <w:bCs/>
                    </w:rPr>
                    <w:t xml:space="preserve"> (údaje v Kč)</w:t>
                  </w:r>
                </w:p>
              </w:tc>
            </w:tr>
            <w:tr w:rsidR="000C17AD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 xml:space="preserve">Poznámka </w:t>
                  </w: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 w:rsidP="00802AA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Počáteční stav k 1.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802AA2">
                    <w:rPr>
                      <w:rFonts w:ascii="Arial" w:hAnsi="Arial" w:cs="Arial"/>
                      <w:b/>
                      <w:bCs/>
                    </w:rPr>
                    <w:t>1.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802AA2">
                    <w:rPr>
                      <w:rFonts w:ascii="Arial" w:hAnsi="Arial" w:cs="Arial"/>
                      <w:b/>
                      <w:bCs/>
                    </w:rPr>
                    <w:t>201</w:t>
                  </w:r>
                  <w:r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Default="00E6362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1 009 423,82 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Tvorba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Default="00E6362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243 000,00 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Příjmy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Default="00E6362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657,79 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 w:rsidP="00BF528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Celkem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Default="00E6362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1 253 081,61 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0C17AD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Výdaje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hmotný dlouhodobý majetek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Default="00E6362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26 647,00 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Pr="00E63626" w:rsidRDefault="00E63626" w:rsidP="00E6362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skartovačka</w:t>
                  </w:r>
                  <w:r w:rsidR="00252A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 fotoaparát</w:t>
                  </w:r>
                  <w:r w:rsidRPr="00E6362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 diktafon, stojany - vše K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Ř</w:t>
                  </w:r>
                  <w:r w:rsidRPr="00E6362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vybavení</w:t>
                  </w: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materiál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Default="00E6362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21 316,00 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Pr="00E63626" w:rsidRDefault="00E6362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63626">
                    <w:rPr>
                      <w:rFonts w:ascii="Arial" w:hAnsi="Arial" w:cs="Arial"/>
                      <w:sz w:val="16"/>
                      <w:szCs w:val="16"/>
                    </w:rPr>
                    <w:t>tablety, trička - projekt KŘ Děti pozor silnice</w:t>
                  </w: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služby telekomunikací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Default="00E6362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14,04 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Pr="00E63626" w:rsidRDefault="00E6362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63626">
                    <w:rPr>
                      <w:rFonts w:ascii="Arial" w:hAnsi="Arial" w:cs="Arial"/>
                      <w:sz w:val="16"/>
                      <w:szCs w:val="16"/>
                    </w:rPr>
                    <w:t>služební telefon - KŘ internet</w:t>
                  </w: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Pr="00802AA2" w:rsidRDefault="00E63626" w:rsidP="00E6362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služby peněžních ústavů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Default="00E6362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266,00 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Pr="00E63626" w:rsidRDefault="00E6362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 w:rsidP="00DA3005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školení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Default="00E6362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41 420,00 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Pr="00E63626" w:rsidRDefault="00E6362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63626">
                    <w:rPr>
                      <w:rFonts w:ascii="Arial" w:hAnsi="Arial" w:cs="Arial"/>
                      <w:sz w:val="16"/>
                      <w:szCs w:val="16"/>
                    </w:rPr>
                    <w:t>školení - krizová připravenost, seminář  projekt DPS KŘ</w:t>
                  </w: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 w:rsidP="00DA3005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nákup služeb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Default="00E6362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47 580,00 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Pr="00252A9A" w:rsidRDefault="00252A9A" w:rsidP="00252A9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2A9A">
                    <w:rPr>
                      <w:rFonts w:ascii="Arial" w:hAnsi="Arial" w:cs="Arial"/>
                      <w:sz w:val="16"/>
                      <w:szCs w:val="16"/>
                    </w:rPr>
                    <w:t>ubytování, stravování - akce pro starosty, ubytování školení KŘ</w:t>
                  </w: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Pr="00802AA2" w:rsidRDefault="00E63626" w:rsidP="00DA3005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pohoštění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Default="00E6362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4 980,50 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Pr="00252A9A" w:rsidRDefault="00E6362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Pr="00E63626" w:rsidRDefault="00E63626" w:rsidP="000C17A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příspěvek na evakuační stan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Default="00E6362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5 000,00 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3626" w:rsidRPr="00252A9A" w:rsidRDefault="00E63626" w:rsidP="000C17A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2A9A">
                    <w:rPr>
                      <w:rFonts w:ascii="Arial" w:hAnsi="Arial" w:cs="Arial"/>
                      <w:sz w:val="16"/>
                      <w:szCs w:val="16"/>
                    </w:rPr>
                    <w:t xml:space="preserve">obec Čistá - evakuace obyvatel </w:t>
                  </w: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 w:rsidP="000C17A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Celkem výdaje</w:t>
                  </w:r>
                </w:p>
              </w:tc>
              <w:tc>
                <w:tcPr>
                  <w:tcW w:w="147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 w:rsidP="00802AA2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141 444,47</w:t>
                  </w:r>
                </w:p>
              </w:tc>
              <w:tc>
                <w:tcPr>
                  <w:tcW w:w="476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 w:rsidP="000C17AD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63626" w:rsidRPr="006A6FB9" w:rsidTr="00E63626">
              <w:trPr>
                <w:trHeight w:val="255"/>
              </w:trPr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 w:rsidP="006172E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KS fondu k 31.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802AA2">
                    <w:rPr>
                      <w:rFonts w:ascii="Arial" w:hAnsi="Arial" w:cs="Arial"/>
                      <w:b/>
                      <w:bCs/>
                    </w:rPr>
                    <w:t>12.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802AA2">
                    <w:rPr>
                      <w:rFonts w:ascii="Arial" w:hAnsi="Arial" w:cs="Arial"/>
                      <w:b/>
                      <w:bCs/>
                    </w:rPr>
                    <w:t>201</w:t>
                  </w:r>
                  <w:r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 w:rsidP="00E6362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1 105 858,07 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626" w:rsidRPr="00802AA2" w:rsidRDefault="00E63626" w:rsidP="00690218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24315E" w:rsidRPr="0024315E" w:rsidRDefault="0024315E" w:rsidP="0024315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74102" w:rsidRPr="008812D0" w:rsidRDefault="00C74102">
      <w:pPr>
        <w:rPr>
          <w:b/>
          <w:sz w:val="24"/>
          <w:highlight w:val="yellow"/>
        </w:rPr>
      </w:pPr>
    </w:p>
    <w:p w:rsidR="00131904" w:rsidRDefault="00B929EA" w:rsidP="00B929EA">
      <w:pPr>
        <w:rPr>
          <w:b/>
          <w:sz w:val="24"/>
        </w:rPr>
      </w:pPr>
      <w:r>
        <w:rPr>
          <w:b/>
          <w:sz w:val="24"/>
        </w:rPr>
        <w:t xml:space="preserve">4) </w:t>
      </w:r>
      <w:r w:rsidR="00131904" w:rsidRPr="003076FB">
        <w:rPr>
          <w:b/>
          <w:sz w:val="24"/>
        </w:rPr>
        <w:t>Hospodaření organizací zřízen</w:t>
      </w:r>
      <w:r w:rsidR="0031774D" w:rsidRPr="003076FB">
        <w:rPr>
          <w:b/>
          <w:sz w:val="24"/>
        </w:rPr>
        <w:t xml:space="preserve">ých </w:t>
      </w:r>
      <w:r w:rsidR="00D16405" w:rsidRPr="003076FB">
        <w:rPr>
          <w:b/>
          <w:sz w:val="24"/>
        </w:rPr>
        <w:t>m</w:t>
      </w:r>
      <w:r w:rsidR="0031774D" w:rsidRPr="003076FB">
        <w:rPr>
          <w:b/>
          <w:sz w:val="24"/>
        </w:rPr>
        <w:t xml:space="preserve">ěstem Jilemnice za rok </w:t>
      </w:r>
      <w:r w:rsidR="00397D92">
        <w:rPr>
          <w:b/>
          <w:sz w:val="24"/>
        </w:rPr>
        <w:t>2017</w:t>
      </w:r>
    </w:p>
    <w:p w:rsidR="009E419B" w:rsidRDefault="009E419B" w:rsidP="009E419B">
      <w:pPr>
        <w:ind w:left="644"/>
        <w:rPr>
          <w:b/>
          <w:sz w:val="24"/>
        </w:rPr>
      </w:pPr>
    </w:p>
    <w:p w:rsidR="00B929EA" w:rsidRPr="00C30BBD" w:rsidRDefault="00C462A3" w:rsidP="00B929EA">
      <w:pPr>
        <w:rPr>
          <w:b/>
          <w:sz w:val="24"/>
          <w:szCs w:val="24"/>
        </w:rPr>
      </w:pPr>
      <w:r>
        <w:rPr>
          <w:b/>
          <w:sz w:val="24"/>
          <w:szCs w:val="24"/>
        </w:rPr>
        <w:t>4.1</w:t>
      </w:r>
      <w:r w:rsidR="00E3078D">
        <w:rPr>
          <w:b/>
          <w:sz w:val="24"/>
          <w:szCs w:val="24"/>
        </w:rPr>
        <w:t>.</w:t>
      </w:r>
      <w:r w:rsidR="00925686" w:rsidRPr="00C30BBD">
        <w:rPr>
          <w:b/>
          <w:sz w:val="24"/>
          <w:szCs w:val="24"/>
        </w:rPr>
        <w:t xml:space="preserve"> Příspěvkové organizace:</w:t>
      </w:r>
    </w:p>
    <w:p w:rsidR="00925686" w:rsidRPr="00925686" w:rsidRDefault="00925686" w:rsidP="00925686">
      <w:pPr>
        <w:rPr>
          <w:sz w:val="22"/>
          <w:szCs w:val="22"/>
        </w:rPr>
      </w:pPr>
      <w:r>
        <w:rPr>
          <w:sz w:val="22"/>
          <w:szCs w:val="22"/>
        </w:rPr>
        <w:lastRenderedPageBreak/>
        <w:t>Přehled hospodaření (výše nákladů a výnosů za hlavní a doplňkovou činnost) a údaje o hospodaření s majetkem jsou v příloze č.</w:t>
      </w:r>
      <w:r w:rsidR="006B25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</w:t>
      </w:r>
      <w:r w:rsidR="00D148D2">
        <w:rPr>
          <w:sz w:val="22"/>
          <w:szCs w:val="22"/>
        </w:rPr>
        <w:t>tohoto</w:t>
      </w:r>
      <w:r>
        <w:rPr>
          <w:sz w:val="22"/>
          <w:szCs w:val="22"/>
        </w:rPr>
        <w:t xml:space="preserve"> dokumentu. </w:t>
      </w:r>
    </w:p>
    <w:p w:rsidR="00C462A3" w:rsidRDefault="00925686">
      <w:pPr>
        <w:rPr>
          <w:sz w:val="24"/>
        </w:rPr>
      </w:pPr>
      <w:r>
        <w:rPr>
          <w:sz w:val="22"/>
        </w:rPr>
        <w:t>RM schválila účetní závěrky všech příspěvkových organiz</w:t>
      </w:r>
      <w:r w:rsidR="00252A9A">
        <w:rPr>
          <w:sz w:val="22"/>
        </w:rPr>
        <w:t>ací k rozvahovému dni 31.</w:t>
      </w:r>
      <w:r w:rsidR="00C462A3">
        <w:rPr>
          <w:sz w:val="22"/>
        </w:rPr>
        <w:t xml:space="preserve"> </w:t>
      </w:r>
      <w:r w:rsidR="00252A9A">
        <w:rPr>
          <w:sz w:val="22"/>
        </w:rPr>
        <w:t>12.</w:t>
      </w:r>
      <w:r w:rsidR="00C462A3">
        <w:rPr>
          <w:sz w:val="22"/>
        </w:rPr>
        <w:t xml:space="preserve"> </w:t>
      </w:r>
      <w:r w:rsidR="00252A9A">
        <w:rPr>
          <w:sz w:val="22"/>
        </w:rPr>
        <w:t>2017</w:t>
      </w:r>
      <w:r>
        <w:rPr>
          <w:sz w:val="22"/>
        </w:rPr>
        <w:t xml:space="preserve">. </w:t>
      </w:r>
      <w:r w:rsidR="00131904" w:rsidRPr="003076FB">
        <w:rPr>
          <w:sz w:val="22"/>
        </w:rPr>
        <w:t xml:space="preserve">Vypořádání </w:t>
      </w:r>
      <w:r w:rsidR="006D4FD2" w:rsidRPr="003076FB">
        <w:rPr>
          <w:sz w:val="22"/>
        </w:rPr>
        <w:t>výsledku hospodaření</w:t>
      </w:r>
      <w:r w:rsidR="00D924E7" w:rsidRPr="003076FB">
        <w:rPr>
          <w:sz w:val="22"/>
        </w:rPr>
        <w:t xml:space="preserve"> </w:t>
      </w:r>
      <w:r w:rsidR="001A5AC0" w:rsidRPr="003076FB">
        <w:rPr>
          <w:sz w:val="22"/>
        </w:rPr>
        <w:t xml:space="preserve">jednotlivých </w:t>
      </w:r>
      <w:r>
        <w:rPr>
          <w:sz w:val="22"/>
        </w:rPr>
        <w:t>příspěvkových organizací</w:t>
      </w:r>
      <w:r w:rsidR="001A5AC0" w:rsidRPr="003076FB">
        <w:rPr>
          <w:sz w:val="22"/>
        </w:rPr>
        <w:t xml:space="preserve"> </w:t>
      </w:r>
      <w:r w:rsidR="00D924E7" w:rsidRPr="003076FB">
        <w:rPr>
          <w:sz w:val="22"/>
        </w:rPr>
        <w:t>za rok 20</w:t>
      </w:r>
      <w:r w:rsidR="001829AE" w:rsidRPr="003076FB">
        <w:rPr>
          <w:sz w:val="22"/>
        </w:rPr>
        <w:t>1</w:t>
      </w:r>
      <w:r w:rsidR="00252A9A">
        <w:rPr>
          <w:sz w:val="22"/>
        </w:rPr>
        <w:t>7</w:t>
      </w:r>
      <w:r w:rsidR="00131904" w:rsidRPr="003076FB">
        <w:rPr>
          <w:sz w:val="22"/>
        </w:rPr>
        <w:t xml:space="preserve"> schválila RM </w:t>
      </w:r>
      <w:r w:rsidR="00131904" w:rsidRPr="003076FB">
        <w:rPr>
          <w:sz w:val="24"/>
        </w:rPr>
        <w:t>takto:</w:t>
      </w:r>
    </w:p>
    <w:p w:rsidR="00D148D2" w:rsidRPr="003076FB" w:rsidRDefault="00D148D2">
      <w:pPr>
        <w:rPr>
          <w:sz w:val="24"/>
        </w:rPr>
      </w:pPr>
    </w:p>
    <w:tbl>
      <w:tblPr>
        <w:tblW w:w="908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7"/>
        <w:gridCol w:w="1417"/>
        <w:gridCol w:w="1418"/>
        <w:gridCol w:w="1275"/>
        <w:gridCol w:w="1360"/>
        <w:gridCol w:w="1480"/>
      </w:tblGrid>
      <w:tr w:rsidR="000967DC" w:rsidRPr="005B7D3F" w:rsidTr="00253AD6">
        <w:trPr>
          <w:trHeight w:val="255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Organizace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 xml:space="preserve"> do fondu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do fondu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do fondu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4F" w:rsidRPr="003076FB" w:rsidRDefault="005E0F4F" w:rsidP="005E0F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6FB">
              <w:rPr>
                <w:rFonts w:ascii="Arial" w:hAnsi="Arial" w:cs="Arial"/>
                <w:b/>
                <w:bCs/>
                <w:sz w:val="16"/>
                <w:szCs w:val="16"/>
              </w:rPr>
              <w:t>Nerozděleno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Celkem</w:t>
            </w:r>
          </w:p>
        </w:tc>
      </w:tr>
      <w:tr w:rsidR="000967DC" w:rsidRPr="005B7D3F" w:rsidTr="00253AD6">
        <w:trPr>
          <w:trHeight w:val="27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C462A3" w:rsidRDefault="00C462A3">
            <w:pPr>
              <w:rPr>
                <w:rFonts w:ascii="Arial" w:hAnsi="Arial" w:cs="Arial"/>
                <w:bCs/>
              </w:rPr>
            </w:pPr>
            <w:r w:rsidRPr="00C462A3">
              <w:rPr>
                <w:rFonts w:ascii="Arial" w:hAnsi="Arial" w:cs="Arial"/>
                <w:bCs/>
              </w:rPr>
              <w:t>údaje v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odměn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rezerv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investic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vykázaný HV</w:t>
            </w:r>
          </w:p>
        </w:tc>
      </w:tr>
      <w:tr w:rsidR="00252A9A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Dětské centrum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20 204,14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20 204,14</w:t>
            </w:r>
          </w:p>
        </w:tc>
      </w:tr>
      <w:tr w:rsidR="00252A9A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Mateřská škola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137 467,40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137 467,40</w:t>
            </w:r>
          </w:p>
        </w:tc>
      </w:tr>
      <w:tr w:rsidR="003F70CC" w:rsidRPr="005B7D3F" w:rsidTr="00522E21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0CC" w:rsidRDefault="003F70CC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MMN Jilemnice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70CC" w:rsidRDefault="003F70CC" w:rsidP="003F70CC">
            <w:pPr>
              <w:jc w:val="right"/>
            </w:pPr>
            <w:r w:rsidRPr="002D5001"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70CC" w:rsidRDefault="003F70CC" w:rsidP="003F70CC">
            <w:pPr>
              <w:jc w:val="right"/>
            </w:pPr>
            <w:r w:rsidRPr="002D5001">
              <w:rPr>
                <w:rFonts w:ascii="Arial CE" w:hAnsi="Arial CE" w:cs="Arial C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70CC" w:rsidRDefault="003F70CC" w:rsidP="003F70CC">
            <w:pPr>
              <w:jc w:val="right"/>
            </w:pPr>
            <w:r w:rsidRPr="002D5001"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0CC" w:rsidRDefault="003F70CC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0CC" w:rsidRDefault="003F70CC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0,00</w:t>
            </w:r>
          </w:p>
        </w:tc>
      </w:tr>
      <w:tr w:rsidR="00252A9A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Spol. dům  Jilm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63 326,21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63 326,21</w:t>
            </w:r>
          </w:p>
        </w:tc>
      </w:tr>
      <w:tr w:rsidR="00252A9A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Sportovní centrum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-953 038,12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-953 038,12</w:t>
            </w:r>
          </w:p>
        </w:tc>
      </w:tr>
      <w:tr w:rsidR="00252A9A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ZŠ J. Harracha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39 780,00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105 591,60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145 371,60</w:t>
            </w:r>
          </w:p>
        </w:tc>
      </w:tr>
      <w:tr w:rsidR="00252A9A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ZŠ Komenského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154 428,45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154 428,45</w:t>
            </w:r>
          </w:p>
        </w:tc>
      </w:tr>
      <w:tr w:rsidR="00252A9A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ZŠ spec. a MŠ spec.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313,56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313,56</w:t>
            </w:r>
          </w:p>
        </w:tc>
      </w:tr>
      <w:tr w:rsidR="00252A9A" w:rsidRPr="005B7D3F" w:rsidTr="003076FB">
        <w:trPr>
          <w:trHeight w:val="27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ZUŠ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113 365,00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174 784,36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288 149,36</w:t>
            </w:r>
          </w:p>
        </w:tc>
      </w:tr>
      <w:tr w:rsidR="00252A9A" w:rsidRPr="005B7D3F" w:rsidTr="003076FB">
        <w:trPr>
          <w:trHeight w:val="270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Celkem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153 145,00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656 115,72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-953 038,12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A9A" w:rsidRDefault="00252A9A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-143 777,40</w:t>
            </w:r>
          </w:p>
        </w:tc>
      </w:tr>
    </w:tbl>
    <w:p w:rsidR="00C30BBD" w:rsidRDefault="00C30BBD" w:rsidP="00C30BBD">
      <w:pPr>
        <w:rPr>
          <w:i/>
        </w:rPr>
      </w:pPr>
    </w:p>
    <w:p w:rsidR="00C30BBD" w:rsidRDefault="00C30BBD" w:rsidP="00430EC3">
      <w:pPr>
        <w:jc w:val="both"/>
        <w:rPr>
          <w:color w:val="000000"/>
          <w:sz w:val="24"/>
          <w:szCs w:val="24"/>
        </w:rPr>
      </w:pPr>
      <w:r w:rsidRPr="00C30BBD">
        <w:rPr>
          <w:sz w:val="24"/>
          <w:szCs w:val="24"/>
        </w:rPr>
        <w:t>Pozn</w:t>
      </w:r>
      <w:r w:rsidRPr="003F70CC">
        <w:rPr>
          <w:sz w:val="24"/>
          <w:szCs w:val="24"/>
        </w:rPr>
        <w:t>.</w:t>
      </w:r>
      <w:r w:rsidR="00671CF7">
        <w:rPr>
          <w:sz w:val="24"/>
          <w:szCs w:val="24"/>
        </w:rPr>
        <w:t xml:space="preserve"> k MMN</w:t>
      </w:r>
      <w:r w:rsidRPr="003F70CC">
        <w:rPr>
          <w:sz w:val="24"/>
          <w:szCs w:val="24"/>
        </w:rPr>
        <w:t xml:space="preserve">: Činnost příspěvkové organizace </w:t>
      </w:r>
      <w:r w:rsidR="003F70CC" w:rsidRPr="003F70CC">
        <w:rPr>
          <w:color w:val="000000"/>
          <w:sz w:val="24"/>
          <w:szCs w:val="24"/>
        </w:rPr>
        <w:t>Masarykovy městské nemocnice v Jilemnici</w:t>
      </w:r>
      <w:r w:rsidRPr="003F70CC">
        <w:rPr>
          <w:color w:val="000000"/>
          <w:sz w:val="24"/>
          <w:szCs w:val="24"/>
        </w:rPr>
        <w:t xml:space="preserve"> byla usnesením ZM č. 114/16 k 31. 12. 2016 zrušena, celý závod byl vložen k 1.</w:t>
      </w:r>
      <w:r w:rsidR="00B65AC0" w:rsidRPr="003F70CC">
        <w:rPr>
          <w:color w:val="000000"/>
          <w:sz w:val="24"/>
          <w:szCs w:val="24"/>
        </w:rPr>
        <w:t xml:space="preserve"> </w:t>
      </w:r>
      <w:r w:rsidRPr="003F70CC">
        <w:rPr>
          <w:color w:val="000000"/>
          <w:sz w:val="24"/>
          <w:szCs w:val="24"/>
        </w:rPr>
        <w:t>1.</w:t>
      </w:r>
      <w:r w:rsidR="00B65AC0" w:rsidRPr="003F70CC">
        <w:rPr>
          <w:color w:val="000000"/>
          <w:sz w:val="24"/>
          <w:szCs w:val="24"/>
        </w:rPr>
        <w:t xml:space="preserve"> </w:t>
      </w:r>
      <w:r w:rsidR="003F70CC">
        <w:rPr>
          <w:color w:val="000000"/>
          <w:sz w:val="24"/>
          <w:szCs w:val="24"/>
        </w:rPr>
        <w:t xml:space="preserve">2017 do MMN a.s. </w:t>
      </w:r>
      <w:r w:rsidR="00A46152" w:rsidRPr="003F70CC">
        <w:rPr>
          <w:color w:val="000000"/>
          <w:sz w:val="24"/>
          <w:szCs w:val="24"/>
        </w:rPr>
        <w:t>Majetek svěřený k hospodaření byl vrácen zřizovateli, tj. městu Jilemnice.</w:t>
      </w:r>
      <w:r w:rsidR="003F70CC">
        <w:rPr>
          <w:color w:val="000000"/>
          <w:sz w:val="24"/>
          <w:szCs w:val="24"/>
        </w:rPr>
        <w:t xml:space="preserve"> </w:t>
      </w:r>
      <w:r w:rsidR="00A46152" w:rsidRPr="003F70CC">
        <w:rPr>
          <w:color w:val="000000"/>
          <w:sz w:val="24"/>
          <w:szCs w:val="24"/>
        </w:rPr>
        <w:t xml:space="preserve"> </w:t>
      </w:r>
      <w:r w:rsidRPr="003F70CC">
        <w:rPr>
          <w:color w:val="000000"/>
          <w:sz w:val="24"/>
          <w:szCs w:val="24"/>
        </w:rPr>
        <w:t>Zároveň tímto usnesením</w:t>
      </w:r>
      <w:r w:rsidR="006D458F" w:rsidRPr="003F70CC">
        <w:rPr>
          <w:color w:val="000000"/>
          <w:sz w:val="24"/>
          <w:szCs w:val="24"/>
        </w:rPr>
        <w:t xml:space="preserve"> ZM</w:t>
      </w:r>
      <w:r w:rsidRPr="003F70CC">
        <w:rPr>
          <w:color w:val="000000"/>
          <w:sz w:val="24"/>
          <w:szCs w:val="24"/>
        </w:rPr>
        <w:t xml:space="preserve"> rozhodlo</w:t>
      </w:r>
      <w:r w:rsidR="00B65AC0" w:rsidRPr="003F70CC">
        <w:rPr>
          <w:color w:val="000000"/>
          <w:sz w:val="24"/>
          <w:szCs w:val="24"/>
        </w:rPr>
        <w:t xml:space="preserve"> </w:t>
      </w:r>
      <w:r w:rsidRPr="003F70CC">
        <w:rPr>
          <w:color w:val="000000"/>
          <w:sz w:val="24"/>
          <w:szCs w:val="24"/>
        </w:rPr>
        <w:t>o zrušení celé příspěvkové organizace k 28.</w:t>
      </w:r>
      <w:r w:rsidR="00B65AC0" w:rsidRPr="003F70CC">
        <w:rPr>
          <w:color w:val="000000"/>
          <w:sz w:val="24"/>
          <w:szCs w:val="24"/>
        </w:rPr>
        <w:t xml:space="preserve"> </w:t>
      </w:r>
      <w:r w:rsidRPr="003F70CC">
        <w:rPr>
          <w:color w:val="000000"/>
          <w:sz w:val="24"/>
          <w:szCs w:val="24"/>
        </w:rPr>
        <w:t>2.</w:t>
      </w:r>
      <w:r w:rsidR="00B65AC0" w:rsidRPr="003F70CC">
        <w:rPr>
          <w:color w:val="000000"/>
          <w:sz w:val="24"/>
          <w:szCs w:val="24"/>
        </w:rPr>
        <w:t xml:space="preserve"> </w:t>
      </w:r>
      <w:r w:rsidRPr="003F70CC">
        <w:rPr>
          <w:color w:val="000000"/>
          <w:sz w:val="24"/>
          <w:szCs w:val="24"/>
        </w:rPr>
        <w:t xml:space="preserve">2017. </w:t>
      </w:r>
      <w:r w:rsidR="00892D6F">
        <w:rPr>
          <w:color w:val="000000"/>
          <w:sz w:val="24"/>
          <w:szCs w:val="24"/>
        </w:rPr>
        <w:t>Za období od 1.</w:t>
      </w:r>
      <w:r w:rsidR="00EB6360">
        <w:rPr>
          <w:color w:val="000000"/>
          <w:sz w:val="24"/>
          <w:szCs w:val="24"/>
        </w:rPr>
        <w:t xml:space="preserve"> </w:t>
      </w:r>
      <w:r w:rsidR="00892D6F">
        <w:rPr>
          <w:color w:val="000000"/>
          <w:sz w:val="24"/>
          <w:szCs w:val="24"/>
        </w:rPr>
        <w:t>1.</w:t>
      </w:r>
      <w:r w:rsidR="00EB6360">
        <w:rPr>
          <w:color w:val="000000"/>
          <w:sz w:val="24"/>
          <w:szCs w:val="24"/>
        </w:rPr>
        <w:t xml:space="preserve"> </w:t>
      </w:r>
      <w:r w:rsidR="00892D6F">
        <w:rPr>
          <w:color w:val="000000"/>
          <w:sz w:val="24"/>
          <w:szCs w:val="24"/>
        </w:rPr>
        <w:t>2017 do 28.</w:t>
      </w:r>
      <w:r w:rsidR="00EB6360">
        <w:rPr>
          <w:color w:val="000000"/>
          <w:sz w:val="24"/>
          <w:szCs w:val="24"/>
        </w:rPr>
        <w:t xml:space="preserve"> </w:t>
      </w:r>
      <w:r w:rsidR="00892D6F">
        <w:rPr>
          <w:color w:val="000000"/>
          <w:sz w:val="24"/>
          <w:szCs w:val="24"/>
        </w:rPr>
        <w:t>2.</w:t>
      </w:r>
      <w:r w:rsidR="00EB6360">
        <w:rPr>
          <w:color w:val="000000"/>
          <w:sz w:val="24"/>
          <w:szCs w:val="24"/>
        </w:rPr>
        <w:t xml:space="preserve"> </w:t>
      </w:r>
      <w:r w:rsidR="00892D6F">
        <w:rPr>
          <w:color w:val="000000"/>
          <w:sz w:val="24"/>
          <w:szCs w:val="24"/>
        </w:rPr>
        <w:t xml:space="preserve">2017 organizace nevykázala žádné náklady ani výnosy. </w:t>
      </w:r>
      <w:r w:rsidR="00EB6360">
        <w:rPr>
          <w:color w:val="000000"/>
          <w:sz w:val="24"/>
          <w:szCs w:val="24"/>
        </w:rPr>
        <w:t xml:space="preserve">RM </w:t>
      </w:r>
      <w:r w:rsidRPr="003F70CC">
        <w:rPr>
          <w:color w:val="000000"/>
          <w:sz w:val="24"/>
          <w:szCs w:val="24"/>
        </w:rPr>
        <w:t>schválila mimořádnou závěrku ke dni jejího zrušení, tj. k 28.</w:t>
      </w:r>
      <w:r w:rsidR="00B65AC0" w:rsidRPr="003F70CC">
        <w:rPr>
          <w:color w:val="000000"/>
          <w:sz w:val="24"/>
          <w:szCs w:val="24"/>
        </w:rPr>
        <w:t xml:space="preserve"> </w:t>
      </w:r>
      <w:r w:rsidRPr="003F70CC">
        <w:rPr>
          <w:color w:val="000000"/>
          <w:sz w:val="24"/>
          <w:szCs w:val="24"/>
        </w:rPr>
        <w:t>2.</w:t>
      </w:r>
      <w:r w:rsidR="00B65AC0" w:rsidRPr="003F70CC">
        <w:rPr>
          <w:color w:val="000000"/>
          <w:sz w:val="24"/>
          <w:szCs w:val="24"/>
        </w:rPr>
        <w:t xml:space="preserve"> </w:t>
      </w:r>
      <w:r w:rsidRPr="003F70CC">
        <w:rPr>
          <w:color w:val="000000"/>
          <w:sz w:val="24"/>
          <w:szCs w:val="24"/>
        </w:rPr>
        <w:t>2017 (č. usn. 99/17 ze dne 26.</w:t>
      </w:r>
      <w:r w:rsidR="00B65AC0" w:rsidRPr="003F70CC">
        <w:rPr>
          <w:color w:val="000000"/>
          <w:sz w:val="24"/>
          <w:szCs w:val="24"/>
        </w:rPr>
        <w:t xml:space="preserve"> </w:t>
      </w:r>
      <w:r w:rsidRPr="003F70CC">
        <w:rPr>
          <w:color w:val="000000"/>
          <w:sz w:val="24"/>
          <w:szCs w:val="24"/>
        </w:rPr>
        <w:t>4.</w:t>
      </w:r>
      <w:r w:rsidR="00B65AC0" w:rsidRPr="003F70CC">
        <w:rPr>
          <w:color w:val="000000"/>
          <w:sz w:val="24"/>
          <w:szCs w:val="24"/>
        </w:rPr>
        <w:t xml:space="preserve"> </w:t>
      </w:r>
      <w:r w:rsidRPr="003F70CC">
        <w:rPr>
          <w:color w:val="000000"/>
          <w:sz w:val="24"/>
          <w:szCs w:val="24"/>
        </w:rPr>
        <w:t>2017).</w:t>
      </w:r>
    </w:p>
    <w:p w:rsidR="00671CF7" w:rsidRDefault="00671CF7" w:rsidP="00430EC3">
      <w:pPr>
        <w:jc w:val="both"/>
        <w:rPr>
          <w:color w:val="000000"/>
          <w:sz w:val="24"/>
          <w:szCs w:val="24"/>
        </w:rPr>
      </w:pPr>
    </w:p>
    <w:p w:rsidR="00671CF7" w:rsidRPr="00252A9A" w:rsidRDefault="00671CF7" w:rsidP="00430EC3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Pozn. k</w:t>
      </w:r>
      <w:r w:rsidR="006F22C2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> Sportovnímu centru: Činnost příspěvkové organizace</w:t>
      </w:r>
      <w:r w:rsidR="006F22C2">
        <w:rPr>
          <w:color w:val="000000"/>
          <w:sz w:val="24"/>
          <w:szCs w:val="24"/>
        </w:rPr>
        <w:t xml:space="preserve"> Sportovní centrum byla ukončena k</w:t>
      </w:r>
      <w:r w:rsidR="00EB6360">
        <w:rPr>
          <w:color w:val="000000"/>
          <w:sz w:val="24"/>
          <w:szCs w:val="24"/>
        </w:rPr>
        <w:t> 31. 8</w:t>
      </w:r>
      <w:r w:rsidR="006F22C2">
        <w:rPr>
          <w:color w:val="000000"/>
          <w:sz w:val="24"/>
          <w:szCs w:val="24"/>
        </w:rPr>
        <w:t>.</w:t>
      </w:r>
      <w:r w:rsidR="00EB6360">
        <w:rPr>
          <w:color w:val="000000"/>
          <w:sz w:val="24"/>
          <w:szCs w:val="24"/>
        </w:rPr>
        <w:t xml:space="preserve"> </w:t>
      </w:r>
      <w:r w:rsidR="006F22C2">
        <w:rPr>
          <w:color w:val="000000"/>
          <w:sz w:val="24"/>
          <w:szCs w:val="24"/>
        </w:rPr>
        <w:t>2017, organizace pak byla zrušena k 31.</w:t>
      </w:r>
      <w:r w:rsidR="00EB6360">
        <w:rPr>
          <w:color w:val="000000"/>
          <w:sz w:val="24"/>
          <w:szCs w:val="24"/>
        </w:rPr>
        <w:t xml:space="preserve"> </w:t>
      </w:r>
      <w:r w:rsidR="006F22C2">
        <w:rPr>
          <w:color w:val="000000"/>
          <w:sz w:val="24"/>
          <w:szCs w:val="24"/>
        </w:rPr>
        <w:t>12.</w:t>
      </w:r>
      <w:r w:rsidR="00EB6360">
        <w:rPr>
          <w:color w:val="000000"/>
          <w:sz w:val="24"/>
          <w:szCs w:val="24"/>
        </w:rPr>
        <w:t xml:space="preserve"> </w:t>
      </w:r>
      <w:r w:rsidR="006F22C2">
        <w:rPr>
          <w:color w:val="000000"/>
          <w:sz w:val="24"/>
          <w:szCs w:val="24"/>
        </w:rPr>
        <w:t>2017 rozhodnutím ZM č. 66/17 ze dne 28.</w:t>
      </w:r>
      <w:r w:rsidR="00EB6360">
        <w:rPr>
          <w:color w:val="000000"/>
          <w:sz w:val="24"/>
          <w:szCs w:val="24"/>
        </w:rPr>
        <w:t xml:space="preserve"> </w:t>
      </w:r>
      <w:r w:rsidR="006F22C2">
        <w:rPr>
          <w:color w:val="000000"/>
          <w:sz w:val="24"/>
          <w:szCs w:val="24"/>
        </w:rPr>
        <w:t>6.</w:t>
      </w:r>
      <w:r w:rsidR="00EB6360">
        <w:rPr>
          <w:color w:val="000000"/>
          <w:sz w:val="24"/>
          <w:szCs w:val="24"/>
        </w:rPr>
        <w:t xml:space="preserve"> </w:t>
      </w:r>
      <w:r w:rsidR="006F22C2">
        <w:rPr>
          <w:color w:val="000000"/>
          <w:sz w:val="24"/>
          <w:szCs w:val="24"/>
        </w:rPr>
        <w:t xml:space="preserve">2017. </w:t>
      </w:r>
      <w:r w:rsidR="00055CF3">
        <w:rPr>
          <w:color w:val="000000"/>
          <w:sz w:val="24"/>
          <w:szCs w:val="24"/>
        </w:rPr>
        <w:t xml:space="preserve">Tímto rozhodnutím ZM rozhodlo i o majetku, ke kterému měla organizace právo hospodaření. Část majetku byla vložena do základního kapitálu obchodní společnosti Sportovní centrum Jilemnice, </w:t>
      </w:r>
      <w:r w:rsidR="00EB6360">
        <w:rPr>
          <w:color w:val="000000"/>
          <w:sz w:val="24"/>
          <w:szCs w:val="24"/>
        </w:rPr>
        <w:t>s.r.o., zbylá</w:t>
      </w:r>
      <w:r w:rsidR="00055CF3">
        <w:rPr>
          <w:color w:val="000000"/>
          <w:sz w:val="24"/>
          <w:szCs w:val="24"/>
        </w:rPr>
        <w:t xml:space="preserve"> část majetku byla vrácena zřizovateli. Na zřizovatele přešla dále pohledávka </w:t>
      </w:r>
      <w:r w:rsidR="00EB6360">
        <w:rPr>
          <w:color w:val="000000"/>
          <w:sz w:val="24"/>
          <w:szCs w:val="24"/>
        </w:rPr>
        <w:t>za prodaný majetek v částce 2.806.944,- Kč, nedokončený hmotný majetek v hodnotě 619.620,- Kč a povinnost zaplacení DPPO ve výši 950,- Kč.</w:t>
      </w:r>
    </w:p>
    <w:p w:rsidR="003076FB" w:rsidRDefault="003076FB" w:rsidP="00430EC3">
      <w:pPr>
        <w:jc w:val="both"/>
        <w:rPr>
          <w:b/>
          <w:sz w:val="24"/>
          <w:szCs w:val="24"/>
        </w:rPr>
      </w:pPr>
    </w:p>
    <w:p w:rsidR="00C462A3" w:rsidRPr="00C30BBD" w:rsidRDefault="00C462A3" w:rsidP="003076FB">
      <w:pPr>
        <w:rPr>
          <w:b/>
          <w:sz w:val="24"/>
          <w:szCs w:val="24"/>
        </w:rPr>
      </w:pPr>
      <w:r>
        <w:rPr>
          <w:b/>
          <w:sz w:val="24"/>
          <w:szCs w:val="24"/>
        </w:rPr>
        <w:t>4.2) Obchodní organizace</w:t>
      </w:r>
    </w:p>
    <w:p w:rsidR="00C30BBD" w:rsidRPr="00892D6F" w:rsidRDefault="00C462A3" w:rsidP="00B929EA">
      <w:pPr>
        <w:rPr>
          <w:b/>
          <w:sz w:val="24"/>
          <w:szCs w:val="24"/>
        </w:rPr>
      </w:pPr>
      <w:r>
        <w:rPr>
          <w:b/>
          <w:sz w:val="24"/>
          <w:szCs w:val="24"/>
        </w:rPr>
        <w:t>a)</w:t>
      </w:r>
      <w:r w:rsidR="00A46152" w:rsidRPr="00892D6F">
        <w:rPr>
          <w:b/>
          <w:sz w:val="24"/>
          <w:szCs w:val="24"/>
        </w:rPr>
        <w:t xml:space="preserve"> MMN</w:t>
      </w:r>
      <w:r w:rsidR="00B65AC0" w:rsidRPr="00892D6F">
        <w:rPr>
          <w:b/>
          <w:sz w:val="24"/>
          <w:szCs w:val="24"/>
        </w:rPr>
        <w:t xml:space="preserve"> </w:t>
      </w:r>
      <w:r w:rsidR="00A46152" w:rsidRPr="00892D6F">
        <w:rPr>
          <w:b/>
          <w:sz w:val="24"/>
          <w:szCs w:val="24"/>
        </w:rPr>
        <w:t>a.s.</w:t>
      </w:r>
      <w:r w:rsidR="00D148D2" w:rsidRPr="00892D6F">
        <w:rPr>
          <w:b/>
          <w:sz w:val="24"/>
          <w:szCs w:val="24"/>
        </w:rPr>
        <w:t>, IČO: 05421888, Metyšova 465, Jilemnice</w:t>
      </w:r>
    </w:p>
    <w:p w:rsidR="00892D6F" w:rsidRPr="00892D6F" w:rsidRDefault="00892D6F" w:rsidP="00430EC3">
      <w:pPr>
        <w:jc w:val="both"/>
        <w:rPr>
          <w:sz w:val="24"/>
          <w:szCs w:val="24"/>
        </w:rPr>
      </w:pPr>
      <w:r w:rsidRPr="00892D6F">
        <w:rPr>
          <w:sz w:val="24"/>
          <w:szCs w:val="24"/>
        </w:rPr>
        <w:t>K 31.</w:t>
      </w:r>
      <w:r w:rsidR="00C462A3">
        <w:rPr>
          <w:sz w:val="24"/>
          <w:szCs w:val="24"/>
        </w:rPr>
        <w:t xml:space="preserve"> </w:t>
      </w:r>
      <w:r w:rsidRPr="00892D6F">
        <w:rPr>
          <w:sz w:val="24"/>
          <w:szCs w:val="24"/>
        </w:rPr>
        <w:t>12.</w:t>
      </w:r>
      <w:r w:rsidR="00C462A3">
        <w:rPr>
          <w:sz w:val="24"/>
          <w:szCs w:val="24"/>
        </w:rPr>
        <w:t xml:space="preserve"> </w:t>
      </w:r>
      <w:r w:rsidRPr="00892D6F">
        <w:rPr>
          <w:sz w:val="24"/>
          <w:szCs w:val="24"/>
        </w:rPr>
        <w:t xml:space="preserve">2017 </w:t>
      </w:r>
      <w:r>
        <w:rPr>
          <w:sz w:val="24"/>
          <w:szCs w:val="24"/>
        </w:rPr>
        <w:t>vlastní město Jilemnice 65% akcií, 35% akcií vlastní město Semily.</w:t>
      </w:r>
    </w:p>
    <w:p w:rsidR="0020401C" w:rsidRPr="007D21BE" w:rsidRDefault="007D21BE" w:rsidP="00430EC3">
      <w:pPr>
        <w:jc w:val="both"/>
        <w:rPr>
          <w:sz w:val="24"/>
          <w:szCs w:val="24"/>
        </w:rPr>
      </w:pPr>
      <w:r w:rsidRPr="007D21BE">
        <w:rPr>
          <w:sz w:val="24"/>
          <w:szCs w:val="24"/>
        </w:rPr>
        <w:t>M</w:t>
      </w:r>
      <w:r w:rsidR="0020401C" w:rsidRPr="007D21BE">
        <w:rPr>
          <w:sz w:val="24"/>
          <w:szCs w:val="24"/>
        </w:rPr>
        <w:t>ěsto Jilemnice poskytlo MMN</w:t>
      </w:r>
      <w:r w:rsidR="00B65AC0" w:rsidRPr="007D21BE">
        <w:rPr>
          <w:sz w:val="24"/>
          <w:szCs w:val="24"/>
        </w:rPr>
        <w:t xml:space="preserve"> </w:t>
      </w:r>
      <w:r w:rsidR="0020401C" w:rsidRPr="007D21BE">
        <w:rPr>
          <w:sz w:val="24"/>
          <w:szCs w:val="24"/>
        </w:rPr>
        <w:t>a.s. v roce 201</w:t>
      </w:r>
      <w:r w:rsidRPr="007D21BE">
        <w:rPr>
          <w:sz w:val="24"/>
          <w:szCs w:val="24"/>
        </w:rPr>
        <w:t>7</w:t>
      </w:r>
      <w:r w:rsidR="0020401C" w:rsidRPr="007D21BE">
        <w:rPr>
          <w:sz w:val="24"/>
          <w:szCs w:val="24"/>
        </w:rPr>
        <w:t xml:space="preserve"> příplatek mimo základní kapitál ve výši </w:t>
      </w:r>
      <w:r w:rsidRPr="007D21BE">
        <w:rPr>
          <w:sz w:val="24"/>
          <w:szCs w:val="24"/>
        </w:rPr>
        <w:t>1.619.164</w:t>
      </w:r>
      <w:r w:rsidR="0020401C" w:rsidRPr="007D21BE">
        <w:rPr>
          <w:sz w:val="24"/>
          <w:szCs w:val="24"/>
        </w:rPr>
        <w:t>,- Kč.</w:t>
      </w:r>
    </w:p>
    <w:p w:rsidR="00884D64" w:rsidRPr="00892D6F" w:rsidRDefault="00884D64" w:rsidP="00430EC3">
      <w:pPr>
        <w:jc w:val="both"/>
        <w:rPr>
          <w:sz w:val="24"/>
          <w:szCs w:val="24"/>
        </w:rPr>
      </w:pPr>
      <w:r w:rsidRPr="00892D6F">
        <w:rPr>
          <w:sz w:val="24"/>
          <w:szCs w:val="24"/>
        </w:rPr>
        <w:t>Vykázaný výsledek hospodaření k 31.</w:t>
      </w:r>
      <w:r w:rsidR="00BB4481" w:rsidRPr="00892D6F">
        <w:rPr>
          <w:sz w:val="24"/>
          <w:szCs w:val="24"/>
        </w:rPr>
        <w:t xml:space="preserve"> </w:t>
      </w:r>
      <w:r w:rsidRPr="00892D6F">
        <w:rPr>
          <w:sz w:val="24"/>
          <w:szCs w:val="24"/>
        </w:rPr>
        <w:t>12.</w:t>
      </w:r>
      <w:r w:rsidR="00BB4481" w:rsidRPr="00892D6F">
        <w:rPr>
          <w:sz w:val="24"/>
          <w:szCs w:val="24"/>
        </w:rPr>
        <w:t xml:space="preserve"> </w:t>
      </w:r>
      <w:r w:rsidRPr="00892D6F">
        <w:rPr>
          <w:sz w:val="24"/>
          <w:szCs w:val="24"/>
        </w:rPr>
        <w:t>201</w:t>
      </w:r>
      <w:r w:rsidR="00892D6F" w:rsidRPr="00892D6F">
        <w:rPr>
          <w:sz w:val="24"/>
          <w:szCs w:val="24"/>
        </w:rPr>
        <w:t>7</w:t>
      </w:r>
      <w:r w:rsidR="00EB6360">
        <w:rPr>
          <w:sz w:val="24"/>
          <w:szCs w:val="24"/>
        </w:rPr>
        <w:t xml:space="preserve">: </w:t>
      </w:r>
      <w:r w:rsidRPr="00892D6F">
        <w:rPr>
          <w:sz w:val="24"/>
          <w:szCs w:val="24"/>
        </w:rPr>
        <w:t xml:space="preserve">celkové náklady: </w:t>
      </w:r>
      <w:r w:rsidR="00892D6F" w:rsidRPr="00892D6F">
        <w:rPr>
          <w:sz w:val="24"/>
          <w:szCs w:val="24"/>
        </w:rPr>
        <w:t>522.336</w:t>
      </w:r>
      <w:r w:rsidR="00E3078D">
        <w:rPr>
          <w:sz w:val="24"/>
          <w:szCs w:val="24"/>
        </w:rPr>
        <w:t>.341,- Kč</w:t>
      </w:r>
      <w:r w:rsidRPr="00892D6F">
        <w:rPr>
          <w:sz w:val="24"/>
          <w:szCs w:val="24"/>
        </w:rPr>
        <w:t xml:space="preserve">, celkové výnosy: </w:t>
      </w:r>
      <w:r w:rsidR="00892D6F" w:rsidRPr="00892D6F">
        <w:rPr>
          <w:sz w:val="24"/>
          <w:szCs w:val="24"/>
        </w:rPr>
        <w:t>522.737</w:t>
      </w:r>
      <w:r w:rsidR="00E3078D">
        <w:rPr>
          <w:sz w:val="24"/>
          <w:szCs w:val="24"/>
        </w:rPr>
        <w:t>.077,- Kč</w:t>
      </w:r>
      <w:r w:rsidRPr="00892D6F">
        <w:rPr>
          <w:sz w:val="24"/>
          <w:szCs w:val="24"/>
        </w:rPr>
        <w:t xml:space="preserve">, hospodářský výsledek: </w:t>
      </w:r>
      <w:r w:rsidR="00E3078D">
        <w:rPr>
          <w:sz w:val="24"/>
          <w:szCs w:val="24"/>
        </w:rPr>
        <w:t>400.736,- Kč</w:t>
      </w:r>
      <w:r w:rsidR="00892D6F" w:rsidRPr="00892D6F">
        <w:rPr>
          <w:sz w:val="24"/>
          <w:szCs w:val="24"/>
        </w:rPr>
        <w:t xml:space="preserve"> po zdanění</w:t>
      </w:r>
      <w:r w:rsidR="00E3078D">
        <w:rPr>
          <w:sz w:val="24"/>
          <w:szCs w:val="24"/>
        </w:rPr>
        <w:t>.</w:t>
      </w:r>
    </w:p>
    <w:p w:rsidR="00884D64" w:rsidRPr="00892D6F" w:rsidRDefault="006D458F" w:rsidP="00430EC3">
      <w:pPr>
        <w:jc w:val="both"/>
        <w:rPr>
          <w:sz w:val="24"/>
          <w:szCs w:val="24"/>
        </w:rPr>
      </w:pPr>
      <w:r w:rsidRPr="00E3078D">
        <w:rPr>
          <w:sz w:val="24"/>
          <w:szCs w:val="24"/>
        </w:rPr>
        <w:t xml:space="preserve">Ke dni sestavení závěrečného účtu města Jilemnice </w:t>
      </w:r>
      <w:r w:rsidR="00D148D2" w:rsidRPr="00E3078D">
        <w:rPr>
          <w:sz w:val="24"/>
          <w:szCs w:val="24"/>
        </w:rPr>
        <w:t xml:space="preserve">nerozhodla </w:t>
      </w:r>
      <w:r w:rsidRPr="00E3078D">
        <w:rPr>
          <w:sz w:val="24"/>
          <w:szCs w:val="24"/>
        </w:rPr>
        <w:t xml:space="preserve">valná hromada společnosti </w:t>
      </w:r>
      <w:r w:rsidR="00884D64" w:rsidRPr="00E3078D">
        <w:rPr>
          <w:sz w:val="24"/>
          <w:szCs w:val="24"/>
        </w:rPr>
        <w:t>o schválení hospodářského výsledku</w:t>
      </w:r>
      <w:r w:rsidRPr="00E3078D">
        <w:rPr>
          <w:sz w:val="24"/>
          <w:szCs w:val="24"/>
        </w:rPr>
        <w:t>.</w:t>
      </w:r>
      <w:r w:rsidR="00884D64" w:rsidRPr="00892D6F">
        <w:rPr>
          <w:sz w:val="24"/>
          <w:szCs w:val="24"/>
        </w:rPr>
        <w:t xml:space="preserve"> </w:t>
      </w:r>
    </w:p>
    <w:p w:rsidR="0020401C" w:rsidRPr="00252A9A" w:rsidRDefault="0020401C" w:rsidP="00430EC3">
      <w:pPr>
        <w:jc w:val="both"/>
        <w:rPr>
          <w:sz w:val="24"/>
          <w:szCs w:val="24"/>
          <w:highlight w:val="yellow"/>
        </w:rPr>
      </w:pPr>
    </w:p>
    <w:p w:rsidR="00A46152" w:rsidRPr="00671CF7" w:rsidRDefault="00C462A3" w:rsidP="00430E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A46152" w:rsidRPr="00671CF7">
        <w:rPr>
          <w:b/>
          <w:sz w:val="24"/>
          <w:szCs w:val="24"/>
        </w:rPr>
        <w:t>) Sportovní centrum Jilemnice, s.</w:t>
      </w:r>
      <w:r w:rsidR="00C466B1" w:rsidRPr="00671CF7">
        <w:rPr>
          <w:b/>
          <w:sz w:val="24"/>
          <w:szCs w:val="24"/>
        </w:rPr>
        <w:t xml:space="preserve"> </w:t>
      </w:r>
      <w:r w:rsidR="00A46152" w:rsidRPr="00671CF7">
        <w:rPr>
          <w:b/>
          <w:sz w:val="24"/>
          <w:szCs w:val="24"/>
        </w:rPr>
        <w:t>r.</w:t>
      </w:r>
      <w:r w:rsidR="00C466B1" w:rsidRPr="00671CF7">
        <w:rPr>
          <w:b/>
          <w:sz w:val="24"/>
          <w:szCs w:val="24"/>
        </w:rPr>
        <w:t xml:space="preserve"> </w:t>
      </w:r>
      <w:r w:rsidR="00A46152" w:rsidRPr="00671CF7">
        <w:rPr>
          <w:b/>
          <w:sz w:val="24"/>
          <w:szCs w:val="24"/>
        </w:rPr>
        <w:t>o</w:t>
      </w:r>
      <w:r w:rsidR="00C466B1" w:rsidRPr="00671CF7">
        <w:rPr>
          <w:b/>
          <w:sz w:val="24"/>
          <w:szCs w:val="24"/>
        </w:rPr>
        <w:t>.</w:t>
      </w:r>
    </w:p>
    <w:p w:rsidR="008B05EC" w:rsidRPr="00671CF7" w:rsidRDefault="00B81E1E" w:rsidP="00430EC3">
      <w:pPr>
        <w:jc w:val="both"/>
        <w:rPr>
          <w:sz w:val="24"/>
          <w:szCs w:val="24"/>
        </w:rPr>
      </w:pPr>
      <w:r w:rsidRPr="00671CF7">
        <w:rPr>
          <w:sz w:val="24"/>
          <w:szCs w:val="24"/>
        </w:rPr>
        <w:t xml:space="preserve">Základní kapitál činí k 31.12.2017 57.420.820,- Kč. </w:t>
      </w:r>
      <w:r w:rsidR="008B05EC" w:rsidRPr="00671CF7">
        <w:rPr>
          <w:sz w:val="24"/>
          <w:szCs w:val="24"/>
        </w:rPr>
        <w:t>K 31.</w:t>
      </w:r>
      <w:r w:rsidR="00EB6360">
        <w:rPr>
          <w:sz w:val="24"/>
          <w:szCs w:val="24"/>
        </w:rPr>
        <w:t xml:space="preserve"> </w:t>
      </w:r>
      <w:r w:rsidR="008B05EC" w:rsidRPr="00671CF7">
        <w:rPr>
          <w:sz w:val="24"/>
          <w:szCs w:val="24"/>
        </w:rPr>
        <w:t>12.</w:t>
      </w:r>
      <w:r w:rsidR="00EB6360">
        <w:rPr>
          <w:sz w:val="24"/>
          <w:szCs w:val="24"/>
        </w:rPr>
        <w:t xml:space="preserve"> </w:t>
      </w:r>
      <w:r w:rsidR="008B05EC" w:rsidRPr="00671CF7">
        <w:rPr>
          <w:sz w:val="24"/>
          <w:szCs w:val="24"/>
        </w:rPr>
        <w:t xml:space="preserve">2017 činí pohledávka za upsaný základní kapitál 2.800.000,- Kč, která bude splacena v roce 2018. V roce 2017 poskytlo město Jilemnice společnosti vyrovnávací platbu ve výši 1.454.763,- Kč. </w:t>
      </w:r>
    </w:p>
    <w:p w:rsidR="008B05EC" w:rsidRPr="00A50C9B" w:rsidRDefault="008B05EC" w:rsidP="00430EC3">
      <w:pPr>
        <w:jc w:val="both"/>
        <w:rPr>
          <w:sz w:val="24"/>
          <w:szCs w:val="24"/>
        </w:rPr>
      </w:pPr>
      <w:r w:rsidRPr="00A50C9B">
        <w:rPr>
          <w:sz w:val="24"/>
          <w:szCs w:val="24"/>
        </w:rPr>
        <w:t xml:space="preserve">Vykázaný výsledek hospodaření k 31. 12. 2017: celkové náklady: </w:t>
      </w:r>
      <w:r>
        <w:rPr>
          <w:sz w:val="24"/>
          <w:szCs w:val="24"/>
        </w:rPr>
        <w:t>9.389.51596</w:t>
      </w:r>
      <w:r w:rsidRPr="00A50C9B">
        <w:rPr>
          <w:sz w:val="24"/>
          <w:szCs w:val="24"/>
        </w:rPr>
        <w:t xml:space="preserve"> Kč, celkové výnosy: </w:t>
      </w:r>
      <w:r>
        <w:rPr>
          <w:sz w:val="24"/>
          <w:szCs w:val="24"/>
        </w:rPr>
        <w:t>4.467.529,49</w:t>
      </w:r>
      <w:r w:rsidRPr="00A50C9B">
        <w:rPr>
          <w:sz w:val="24"/>
          <w:szCs w:val="24"/>
        </w:rPr>
        <w:t xml:space="preserve"> Kč</w:t>
      </w:r>
      <w:r>
        <w:rPr>
          <w:sz w:val="24"/>
          <w:szCs w:val="24"/>
        </w:rPr>
        <w:t>, záporný</w:t>
      </w:r>
      <w:r w:rsidRPr="00A50C9B">
        <w:rPr>
          <w:sz w:val="24"/>
          <w:szCs w:val="24"/>
        </w:rPr>
        <w:t xml:space="preserve"> hospodářský výsledek: </w:t>
      </w:r>
      <w:r>
        <w:rPr>
          <w:sz w:val="24"/>
          <w:szCs w:val="24"/>
        </w:rPr>
        <w:t>- 4.921.986,47</w:t>
      </w:r>
      <w:r w:rsidRPr="00A50C9B">
        <w:rPr>
          <w:sz w:val="24"/>
          <w:szCs w:val="24"/>
        </w:rPr>
        <w:t xml:space="preserve"> Kč</w:t>
      </w:r>
      <w:r w:rsidR="00B81E1E">
        <w:rPr>
          <w:sz w:val="24"/>
          <w:szCs w:val="24"/>
        </w:rPr>
        <w:t>. Tato ztráta byla rozhodnutím valné hromady dne 28.</w:t>
      </w:r>
      <w:r w:rsidR="00C462A3">
        <w:rPr>
          <w:sz w:val="24"/>
          <w:szCs w:val="24"/>
        </w:rPr>
        <w:t xml:space="preserve"> </w:t>
      </w:r>
      <w:r w:rsidR="00B81E1E">
        <w:rPr>
          <w:sz w:val="24"/>
          <w:szCs w:val="24"/>
        </w:rPr>
        <w:t>2.</w:t>
      </w:r>
      <w:r w:rsidR="00C462A3">
        <w:rPr>
          <w:sz w:val="24"/>
          <w:szCs w:val="24"/>
        </w:rPr>
        <w:t xml:space="preserve"> </w:t>
      </w:r>
      <w:r w:rsidR="00B81E1E">
        <w:rPr>
          <w:sz w:val="24"/>
          <w:szCs w:val="24"/>
        </w:rPr>
        <w:t>2018 převedena na účet neuhrazené ztráty z minulých let.</w:t>
      </w:r>
    </w:p>
    <w:p w:rsidR="00603232" w:rsidRPr="00252A9A" w:rsidRDefault="00603232" w:rsidP="00430EC3">
      <w:pPr>
        <w:jc w:val="both"/>
        <w:rPr>
          <w:sz w:val="24"/>
          <w:szCs w:val="24"/>
          <w:highlight w:val="yellow"/>
        </w:rPr>
      </w:pPr>
    </w:p>
    <w:p w:rsidR="00A46152" w:rsidRPr="00A50C9B" w:rsidRDefault="00C462A3" w:rsidP="003076FB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A46152" w:rsidRPr="00A50C9B">
        <w:rPr>
          <w:b/>
          <w:sz w:val="24"/>
          <w:szCs w:val="24"/>
        </w:rPr>
        <w:t>) Zásobování teplem, s.</w:t>
      </w:r>
      <w:r w:rsidR="00C466B1" w:rsidRPr="00A50C9B">
        <w:rPr>
          <w:b/>
          <w:sz w:val="24"/>
          <w:szCs w:val="24"/>
        </w:rPr>
        <w:t xml:space="preserve"> </w:t>
      </w:r>
      <w:r w:rsidR="00A46152" w:rsidRPr="00A50C9B">
        <w:rPr>
          <w:b/>
          <w:sz w:val="24"/>
          <w:szCs w:val="24"/>
        </w:rPr>
        <w:t>r.</w:t>
      </w:r>
      <w:r w:rsidR="00C466B1" w:rsidRPr="00A50C9B">
        <w:rPr>
          <w:b/>
          <w:sz w:val="24"/>
          <w:szCs w:val="24"/>
        </w:rPr>
        <w:t xml:space="preserve"> </w:t>
      </w:r>
      <w:r w:rsidR="00A46152" w:rsidRPr="00A50C9B">
        <w:rPr>
          <w:b/>
          <w:sz w:val="24"/>
          <w:szCs w:val="24"/>
        </w:rPr>
        <w:t>o</w:t>
      </w:r>
      <w:r w:rsidR="00C466B1" w:rsidRPr="00A50C9B">
        <w:rPr>
          <w:b/>
          <w:sz w:val="24"/>
          <w:szCs w:val="24"/>
        </w:rPr>
        <w:t xml:space="preserve">., </w:t>
      </w:r>
      <w:r w:rsidR="00D148D2" w:rsidRPr="00A50C9B">
        <w:rPr>
          <w:b/>
          <w:sz w:val="24"/>
          <w:szCs w:val="24"/>
        </w:rPr>
        <w:t xml:space="preserve"> IČO 25281542, Jana Weisse 1219, Jilemnice</w:t>
      </w:r>
    </w:p>
    <w:p w:rsidR="00830A9E" w:rsidRPr="00A50C9B" w:rsidRDefault="00830A9E" w:rsidP="003076FB">
      <w:pPr>
        <w:rPr>
          <w:sz w:val="24"/>
          <w:szCs w:val="24"/>
        </w:rPr>
      </w:pPr>
      <w:r w:rsidRPr="00A50C9B">
        <w:rPr>
          <w:sz w:val="24"/>
          <w:szCs w:val="24"/>
        </w:rPr>
        <w:t>Vykázaný výsledek hospodaření k 31.</w:t>
      </w:r>
      <w:r w:rsidR="00C466B1" w:rsidRPr="00A50C9B">
        <w:rPr>
          <w:sz w:val="24"/>
          <w:szCs w:val="24"/>
        </w:rPr>
        <w:t xml:space="preserve"> </w:t>
      </w:r>
      <w:r w:rsidRPr="00A50C9B">
        <w:rPr>
          <w:sz w:val="24"/>
          <w:szCs w:val="24"/>
        </w:rPr>
        <w:t>12.</w:t>
      </w:r>
      <w:r w:rsidR="00C466B1" w:rsidRPr="00A50C9B">
        <w:rPr>
          <w:sz w:val="24"/>
          <w:szCs w:val="24"/>
        </w:rPr>
        <w:t xml:space="preserve"> </w:t>
      </w:r>
      <w:r w:rsidRPr="00A50C9B">
        <w:rPr>
          <w:sz w:val="24"/>
          <w:szCs w:val="24"/>
        </w:rPr>
        <w:t>201</w:t>
      </w:r>
      <w:r w:rsidR="006E6025" w:rsidRPr="00A50C9B">
        <w:rPr>
          <w:sz w:val="24"/>
          <w:szCs w:val="24"/>
        </w:rPr>
        <w:t>7</w:t>
      </w:r>
      <w:r w:rsidRPr="00A50C9B">
        <w:rPr>
          <w:sz w:val="24"/>
          <w:szCs w:val="24"/>
        </w:rPr>
        <w:t xml:space="preserve">: </w:t>
      </w:r>
      <w:r w:rsidR="00884D64" w:rsidRPr="00A50C9B">
        <w:rPr>
          <w:sz w:val="24"/>
          <w:szCs w:val="24"/>
        </w:rPr>
        <w:t xml:space="preserve">celkové náklady: </w:t>
      </w:r>
      <w:r w:rsidR="00A50C9B" w:rsidRPr="00A50C9B">
        <w:rPr>
          <w:sz w:val="24"/>
          <w:szCs w:val="24"/>
        </w:rPr>
        <w:t xml:space="preserve">14.381.023,35 </w:t>
      </w:r>
      <w:r w:rsidR="00884D64" w:rsidRPr="00A50C9B">
        <w:rPr>
          <w:sz w:val="24"/>
          <w:szCs w:val="24"/>
        </w:rPr>
        <w:t xml:space="preserve">Kč, celkové výnosy: </w:t>
      </w:r>
      <w:r w:rsidR="006E6025" w:rsidRPr="00A50C9B">
        <w:rPr>
          <w:sz w:val="24"/>
          <w:szCs w:val="24"/>
        </w:rPr>
        <w:t>14.75</w:t>
      </w:r>
      <w:r w:rsidR="00A50C9B" w:rsidRPr="00A50C9B">
        <w:rPr>
          <w:sz w:val="24"/>
          <w:szCs w:val="24"/>
        </w:rPr>
        <w:t>0.391,41</w:t>
      </w:r>
      <w:r w:rsidR="00884D64" w:rsidRPr="00A50C9B">
        <w:rPr>
          <w:sz w:val="24"/>
          <w:szCs w:val="24"/>
        </w:rPr>
        <w:t xml:space="preserve"> Kč, kladný hospodářský výsledek: </w:t>
      </w:r>
      <w:r w:rsidR="00A50C9B" w:rsidRPr="00A50C9B">
        <w:rPr>
          <w:sz w:val="24"/>
          <w:szCs w:val="24"/>
        </w:rPr>
        <w:t>369.368,06</w:t>
      </w:r>
      <w:r w:rsidRPr="00A50C9B">
        <w:rPr>
          <w:sz w:val="24"/>
          <w:szCs w:val="24"/>
        </w:rPr>
        <w:t xml:space="preserve"> Kč</w:t>
      </w:r>
    </w:p>
    <w:p w:rsidR="00830A9E" w:rsidRPr="00A50C9B" w:rsidRDefault="00830A9E" w:rsidP="003076FB">
      <w:pPr>
        <w:rPr>
          <w:sz w:val="24"/>
          <w:szCs w:val="24"/>
        </w:rPr>
      </w:pPr>
      <w:r w:rsidRPr="00A50C9B">
        <w:rPr>
          <w:sz w:val="24"/>
          <w:szCs w:val="24"/>
        </w:rPr>
        <w:t xml:space="preserve">Valná hromada </w:t>
      </w:r>
      <w:r w:rsidRPr="00601444">
        <w:rPr>
          <w:sz w:val="24"/>
          <w:szCs w:val="24"/>
        </w:rPr>
        <w:t>společnosti</w:t>
      </w:r>
      <w:r w:rsidR="00A50C9B" w:rsidRPr="00601444">
        <w:rPr>
          <w:sz w:val="24"/>
          <w:szCs w:val="24"/>
        </w:rPr>
        <w:t xml:space="preserve"> </w:t>
      </w:r>
      <w:r w:rsidR="00601444" w:rsidRPr="00601444">
        <w:rPr>
          <w:sz w:val="24"/>
          <w:szCs w:val="24"/>
        </w:rPr>
        <w:t xml:space="preserve">rozhodla o jeho </w:t>
      </w:r>
      <w:r w:rsidRPr="00601444">
        <w:rPr>
          <w:sz w:val="24"/>
          <w:szCs w:val="24"/>
        </w:rPr>
        <w:t xml:space="preserve">rozdělení </w:t>
      </w:r>
      <w:r w:rsidR="00A50C9B" w:rsidRPr="00601444">
        <w:rPr>
          <w:sz w:val="24"/>
          <w:szCs w:val="24"/>
        </w:rPr>
        <w:t>dne 16. 5. 2018</w:t>
      </w:r>
      <w:r w:rsidR="00E3078D">
        <w:rPr>
          <w:sz w:val="24"/>
          <w:szCs w:val="24"/>
        </w:rPr>
        <w:t xml:space="preserve"> takto</w:t>
      </w:r>
      <w:r w:rsidRPr="00601444">
        <w:rPr>
          <w:sz w:val="24"/>
          <w:szCs w:val="24"/>
        </w:rPr>
        <w:t>:</w:t>
      </w:r>
      <w:r w:rsidRPr="00A50C9B">
        <w:rPr>
          <w:sz w:val="24"/>
          <w:szCs w:val="24"/>
        </w:rPr>
        <w:t xml:space="preserve"> </w:t>
      </w:r>
    </w:p>
    <w:p w:rsidR="00830A9E" w:rsidRPr="00A50C9B" w:rsidRDefault="00830A9E" w:rsidP="003076FB">
      <w:pPr>
        <w:rPr>
          <w:sz w:val="24"/>
          <w:szCs w:val="24"/>
        </w:rPr>
      </w:pPr>
      <w:r w:rsidRPr="00A50C9B">
        <w:rPr>
          <w:sz w:val="24"/>
          <w:szCs w:val="24"/>
        </w:rPr>
        <w:tab/>
        <w:t xml:space="preserve">Do fondu sociálního:    </w:t>
      </w:r>
      <w:r w:rsidR="00A50C9B" w:rsidRPr="00A50C9B">
        <w:rPr>
          <w:sz w:val="24"/>
          <w:szCs w:val="24"/>
        </w:rPr>
        <w:t>27.980</w:t>
      </w:r>
      <w:r w:rsidRPr="00A50C9B">
        <w:rPr>
          <w:sz w:val="24"/>
          <w:szCs w:val="24"/>
        </w:rPr>
        <w:t>,</w:t>
      </w:r>
      <w:r w:rsidR="00A50C9B" w:rsidRPr="00A50C9B">
        <w:rPr>
          <w:sz w:val="24"/>
          <w:szCs w:val="24"/>
        </w:rPr>
        <w:t xml:space="preserve">00 </w:t>
      </w:r>
      <w:r w:rsidRPr="00A50C9B">
        <w:rPr>
          <w:sz w:val="24"/>
          <w:szCs w:val="24"/>
        </w:rPr>
        <w:t>Kč</w:t>
      </w:r>
    </w:p>
    <w:p w:rsidR="00830A9E" w:rsidRPr="00A50C9B" w:rsidRDefault="00830A9E" w:rsidP="003076FB">
      <w:pPr>
        <w:rPr>
          <w:sz w:val="24"/>
          <w:szCs w:val="24"/>
        </w:rPr>
      </w:pPr>
      <w:r w:rsidRPr="00A50C9B">
        <w:rPr>
          <w:sz w:val="24"/>
          <w:szCs w:val="24"/>
        </w:rPr>
        <w:lastRenderedPageBreak/>
        <w:tab/>
        <w:t>Do fondu rozvoje:</w:t>
      </w:r>
      <w:r w:rsidRPr="00A50C9B">
        <w:rPr>
          <w:sz w:val="24"/>
          <w:szCs w:val="24"/>
        </w:rPr>
        <w:tab/>
      </w:r>
      <w:r w:rsidR="00A50C9B" w:rsidRPr="00A50C9B">
        <w:rPr>
          <w:sz w:val="24"/>
          <w:szCs w:val="24"/>
        </w:rPr>
        <w:t xml:space="preserve">341.388,06 </w:t>
      </w:r>
      <w:r w:rsidRPr="00A50C9B">
        <w:rPr>
          <w:sz w:val="24"/>
          <w:szCs w:val="24"/>
        </w:rPr>
        <w:t>Kč</w:t>
      </w:r>
    </w:p>
    <w:p w:rsidR="00830A9E" w:rsidRPr="00A50C9B" w:rsidRDefault="00830A9E" w:rsidP="003076FB">
      <w:pPr>
        <w:rPr>
          <w:sz w:val="24"/>
          <w:szCs w:val="24"/>
        </w:rPr>
      </w:pPr>
      <w:r w:rsidRPr="00A50C9B">
        <w:rPr>
          <w:sz w:val="24"/>
          <w:szCs w:val="24"/>
        </w:rPr>
        <w:tab/>
        <w:t>Celkem:</w:t>
      </w:r>
      <w:r w:rsidRPr="00A50C9B">
        <w:rPr>
          <w:sz w:val="24"/>
          <w:szCs w:val="24"/>
        </w:rPr>
        <w:tab/>
      </w:r>
      <w:r w:rsidRPr="00A50C9B">
        <w:rPr>
          <w:sz w:val="24"/>
          <w:szCs w:val="24"/>
        </w:rPr>
        <w:tab/>
      </w:r>
      <w:r w:rsidR="00A50C9B" w:rsidRPr="00A50C9B">
        <w:rPr>
          <w:sz w:val="24"/>
          <w:szCs w:val="24"/>
        </w:rPr>
        <w:t xml:space="preserve">369.368,06 </w:t>
      </w:r>
      <w:r w:rsidRPr="00A50C9B">
        <w:rPr>
          <w:sz w:val="24"/>
          <w:szCs w:val="24"/>
        </w:rPr>
        <w:t>Kč</w:t>
      </w:r>
    </w:p>
    <w:p w:rsidR="00A50C9B" w:rsidRPr="00830A9E" w:rsidRDefault="00A50C9B" w:rsidP="003076FB">
      <w:pPr>
        <w:rPr>
          <w:sz w:val="24"/>
          <w:szCs w:val="24"/>
        </w:rPr>
      </w:pPr>
      <w:r w:rsidRPr="00A50C9B">
        <w:rPr>
          <w:sz w:val="24"/>
          <w:szCs w:val="24"/>
        </w:rPr>
        <w:t>V roce 2017 investovala společnost do obnovy zařízení a rozvodu tepelné energie částku 6.477.106,- Kč, na což čerpala úvěr u KB,a.s. ve výši 4.980.000,- Kč.</w:t>
      </w:r>
    </w:p>
    <w:p w:rsidR="003076FB" w:rsidRDefault="003076FB" w:rsidP="003076FB">
      <w:pPr>
        <w:ind w:left="644"/>
        <w:rPr>
          <w:b/>
          <w:sz w:val="24"/>
          <w:szCs w:val="24"/>
        </w:rPr>
      </w:pPr>
    </w:p>
    <w:p w:rsidR="00131904" w:rsidRPr="004045E7" w:rsidRDefault="00B929EA" w:rsidP="00B929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5) </w:t>
      </w:r>
      <w:r w:rsidR="00131904" w:rsidRPr="00947A68">
        <w:rPr>
          <w:b/>
          <w:sz w:val="24"/>
          <w:szCs w:val="24"/>
        </w:rPr>
        <w:t>Vyúčtování finančních vztahů k</w:t>
      </w:r>
      <w:r w:rsidR="00131904" w:rsidRPr="004045E7">
        <w:rPr>
          <w:b/>
          <w:sz w:val="24"/>
          <w:szCs w:val="24"/>
        </w:rPr>
        <w:t>e státnímu rozpočtu a ost</w:t>
      </w:r>
      <w:r w:rsidR="00F70B2D">
        <w:rPr>
          <w:b/>
          <w:sz w:val="24"/>
          <w:szCs w:val="24"/>
        </w:rPr>
        <w:t>atním</w:t>
      </w:r>
      <w:r w:rsidR="00131904" w:rsidRPr="004045E7">
        <w:rPr>
          <w:b/>
          <w:sz w:val="24"/>
          <w:szCs w:val="24"/>
        </w:rPr>
        <w:t xml:space="preserve"> rozpočtům veřejné úrovně</w:t>
      </w:r>
    </w:p>
    <w:p w:rsidR="00C462A3" w:rsidRDefault="00522E21" w:rsidP="00B929EA">
      <w:pPr>
        <w:pStyle w:val="Zkladntext2"/>
        <w:jc w:val="both"/>
        <w:rPr>
          <w:szCs w:val="24"/>
        </w:rPr>
      </w:pPr>
      <w:r w:rsidRPr="00C462A3">
        <w:rPr>
          <w:b/>
          <w:szCs w:val="24"/>
        </w:rPr>
        <w:t>a) Přijaté dotace a transfery:</w:t>
      </w:r>
      <w:r w:rsidRPr="00522E21">
        <w:rPr>
          <w:szCs w:val="24"/>
        </w:rPr>
        <w:t xml:space="preserve"> </w:t>
      </w:r>
    </w:p>
    <w:p w:rsidR="00843029" w:rsidRPr="00522E21" w:rsidRDefault="00131904" w:rsidP="00B929EA">
      <w:pPr>
        <w:pStyle w:val="Zkladntext2"/>
        <w:jc w:val="both"/>
        <w:rPr>
          <w:szCs w:val="24"/>
        </w:rPr>
      </w:pPr>
      <w:r w:rsidRPr="00522E21">
        <w:rPr>
          <w:szCs w:val="24"/>
        </w:rPr>
        <w:t xml:space="preserve">Dotace do rozpočtu města za rok </w:t>
      </w:r>
      <w:r w:rsidR="00C02095" w:rsidRPr="00522E21">
        <w:rPr>
          <w:szCs w:val="24"/>
        </w:rPr>
        <w:t>20</w:t>
      </w:r>
      <w:r w:rsidR="002E7723" w:rsidRPr="00522E21">
        <w:rPr>
          <w:szCs w:val="24"/>
        </w:rPr>
        <w:t>1</w:t>
      </w:r>
      <w:r w:rsidR="00522E21" w:rsidRPr="00522E21">
        <w:rPr>
          <w:szCs w:val="24"/>
        </w:rPr>
        <w:t>7</w:t>
      </w:r>
      <w:r w:rsidR="000967DC" w:rsidRPr="00522E21">
        <w:rPr>
          <w:szCs w:val="24"/>
        </w:rPr>
        <w:t xml:space="preserve"> </w:t>
      </w:r>
      <w:r w:rsidRPr="00522E21">
        <w:rPr>
          <w:szCs w:val="24"/>
        </w:rPr>
        <w:t xml:space="preserve">činily celkem </w:t>
      </w:r>
      <w:r w:rsidR="00522E21" w:rsidRPr="00522E21">
        <w:rPr>
          <w:szCs w:val="24"/>
        </w:rPr>
        <w:t>67.462</w:t>
      </w:r>
      <w:r w:rsidR="004A0BD8" w:rsidRPr="00522E21">
        <w:rPr>
          <w:szCs w:val="24"/>
        </w:rPr>
        <w:t xml:space="preserve"> tis.</w:t>
      </w:r>
      <w:r w:rsidR="005E467E" w:rsidRPr="00522E21">
        <w:rPr>
          <w:szCs w:val="24"/>
        </w:rPr>
        <w:t xml:space="preserve"> </w:t>
      </w:r>
      <w:r w:rsidR="004A0BD8" w:rsidRPr="00522E21">
        <w:rPr>
          <w:szCs w:val="24"/>
        </w:rPr>
        <w:t>Kč</w:t>
      </w:r>
      <w:r w:rsidR="001C7B95" w:rsidRPr="00522E21">
        <w:rPr>
          <w:szCs w:val="24"/>
        </w:rPr>
        <w:t xml:space="preserve">, z toho neinvestiční </w:t>
      </w:r>
      <w:r w:rsidR="00522E21" w:rsidRPr="00522E21">
        <w:rPr>
          <w:szCs w:val="24"/>
        </w:rPr>
        <w:t>36.538</w:t>
      </w:r>
      <w:r w:rsidR="001C7B95" w:rsidRPr="00522E21">
        <w:rPr>
          <w:szCs w:val="24"/>
        </w:rPr>
        <w:t xml:space="preserve"> tis. Kč, investiční </w:t>
      </w:r>
      <w:r w:rsidR="00522E21" w:rsidRPr="00522E21">
        <w:rPr>
          <w:szCs w:val="24"/>
        </w:rPr>
        <w:t>30.924</w:t>
      </w:r>
      <w:r w:rsidR="001C7B95" w:rsidRPr="00522E21">
        <w:rPr>
          <w:szCs w:val="24"/>
        </w:rPr>
        <w:t xml:space="preserve"> tis. Kč</w:t>
      </w:r>
      <w:r w:rsidR="004A0BD8" w:rsidRPr="00522E21">
        <w:rPr>
          <w:szCs w:val="24"/>
        </w:rPr>
        <w:t xml:space="preserve">. </w:t>
      </w:r>
      <w:r w:rsidR="00106D3A" w:rsidRPr="00522E21">
        <w:rPr>
          <w:szCs w:val="24"/>
        </w:rPr>
        <w:t>Přehled obdržených transferů a dotací podle způsobů vypořá</w:t>
      </w:r>
      <w:r w:rsidR="00731C3D" w:rsidRPr="00522E21">
        <w:rPr>
          <w:szCs w:val="24"/>
        </w:rPr>
        <w:t xml:space="preserve">dání uvádí následující tabulka. </w:t>
      </w:r>
    </w:p>
    <w:p w:rsidR="006172E5" w:rsidRPr="00522E21" w:rsidRDefault="004A0BD8" w:rsidP="00665DB7">
      <w:pPr>
        <w:ind w:firstLine="360"/>
        <w:jc w:val="both"/>
        <w:rPr>
          <w:sz w:val="24"/>
          <w:szCs w:val="24"/>
        </w:rPr>
      </w:pPr>
      <w:r w:rsidRPr="00522E21">
        <w:rPr>
          <w:sz w:val="24"/>
          <w:szCs w:val="24"/>
        </w:rPr>
        <w:t>Všechny d</w:t>
      </w:r>
      <w:r w:rsidR="00131904" w:rsidRPr="00522E21">
        <w:rPr>
          <w:sz w:val="24"/>
          <w:szCs w:val="24"/>
        </w:rPr>
        <w:t>otace</w:t>
      </w:r>
      <w:r w:rsidR="006F20E6" w:rsidRPr="00522E21">
        <w:rPr>
          <w:sz w:val="24"/>
          <w:szCs w:val="24"/>
        </w:rPr>
        <w:t xml:space="preserve">, u kterých je povinnost ročního finančního vypořádání, </w:t>
      </w:r>
      <w:r w:rsidR="000967DC" w:rsidRPr="00522E21">
        <w:rPr>
          <w:sz w:val="24"/>
          <w:szCs w:val="24"/>
        </w:rPr>
        <w:t xml:space="preserve">byly řádně vyúčtovány. </w:t>
      </w:r>
      <w:r w:rsidR="00252EC8" w:rsidRPr="00522E21">
        <w:rPr>
          <w:sz w:val="24"/>
          <w:szCs w:val="24"/>
        </w:rPr>
        <w:t>Projekty spolufina</w:t>
      </w:r>
      <w:r w:rsidR="00106D3A" w:rsidRPr="00522E21">
        <w:rPr>
          <w:sz w:val="24"/>
          <w:szCs w:val="24"/>
        </w:rPr>
        <w:t xml:space="preserve">ncované z EU jsou vyúčtovávány </w:t>
      </w:r>
      <w:r w:rsidR="00252EC8" w:rsidRPr="00522E21">
        <w:rPr>
          <w:sz w:val="24"/>
          <w:szCs w:val="24"/>
        </w:rPr>
        <w:t>podle pravidel každého projektu</w:t>
      </w:r>
      <w:r w:rsidR="008B7995" w:rsidRPr="00522E21">
        <w:rPr>
          <w:sz w:val="24"/>
          <w:szCs w:val="24"/>
        </w:rPr>
        <w:t>, stejně tak dotace z Libereckého kraje</w:t>
      </w:r>
      <w:r w:rsidR="00252EC8" w:rsidRPr="00522E21">
        <w:rPr>
          <w:sz w:val="24"/>
          <w:szCs w:val="24"/>
        </w:rPr>
        <w:t xml:space="preserve">. </w:t>
      </w:r>
    </w:p>
    <w:p w:rsidR="0007337F" w:rsidRDefault="0007337F" w:rsidP="00665DB7">
      <w:pPr>
        <w:ind w:firstLine="360"/>
        <w:jc w:val="both"/>
        <w:rPr>
          <w:sz w:val="24"/>
          <w:szCs w:val="24"/>
        </w:rPr>
      </w:pPr>
    </w:p>
    <w:tbl>
      <w:tblPr>
        <w:tblW w:w="926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5"/>
        <w:gridCol w:w="1182"/>
        <w:gridCol w:w="960"/>
        <w:gridCol w:w="977"/>
        <w:gridCol w:w="894"/>
      </w:tblGrid>
      <w:tr w:rsidR="00696131" w:rsidRPr="003E57FF" w:rsidTr="007A17E3">
        <w:trPr>
          <w:trHeight w:val="315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D1:H35"/>
            <w:r>
              <w:rPr>
                <w:rFonts w:ascii="Arial" w:hAnsi="Arial" w:cs="Arial"/>
                <w:b/>
                <w:bCs/>
                <w:color w:val="000000"/>
              </w:rPr>
              <w:t>Obdržené transfery a dotace v roce  2017</w:t>
            </w:r>
            <w:bookmarkEnd w:id="0"/>
            <w:r w:rsidR="00A50C9B">
              <w:rPr>
                <w:rFonts w:ascii="Arial" w:hAnsi="Arial" w:cs="Arial"/>
                <w:b/>
                <w:bCs/>
                <w:color w:val="000000"/>
              </w:rPr>
              <w:t xml:space="preserve"> (tis. Kč)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Rozpočet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Plnění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% plnění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Rozdíl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Transfery, které nepodléhají fin. vypořádání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17 611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17 660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100,3%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 xml:space="preserve">49,3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Souhrnná neinvestiční dotace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17 306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17 306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Veřejnoprávní smlouvy správní odbor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45,8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Veřejnoprávní smlouvy policie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3,1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Zůstatek z depozitního účtu z r. 2016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0,4 </w:t>
            </w:r>
          </w:p>
        </w:tc>
      </w:tr>
      <w:tr w:rsidR="00696131" w:rsidRPr="003E57FF" w:rsidTr="007A17E3">
        <w:trPr>
          <w:trHeight w:val="255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Dotace, podléhající ročnímu fin. vypořádání se státním rozpočtem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7 089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7 096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100,1%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 xml:space="preserve">7,2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volby do Parlamentu a prezidenta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výkon st. správy - soc. právní ochranu dětí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3 911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3 911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31" w:rsidRDefault="00696131" w:rsidP="002A5EE0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Dotace od </w:t>
            </w:r>
            <w:r w:rsidR="002A5EE0">
              <w:rPr>
                <w:rFonts w:ascii="Arial CE" w:hAnsi="Arial CE" w:cs="Arial CE"/>
                <w:sz w:val="16"/>
                <w:szCs w:val="16"/>
              </w:rPr>
              <w:t>úřadu práce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1 047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1 054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7,2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výkon st. správy -  soc. práci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činnost lesního hospodáře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MK ČR na obnovu památek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MVČR na požární ochranu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21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kosení modráskové louky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419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Dotace projektové, jejichž vypořádání probíhá podle smluv a pravidel poskytovatele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23 886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23 887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100,0%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 xml:space="preserve">0,7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MŠMT z OP – Výzkum, vývoj a vzdělávání pro MŠ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MŠMT z OP – Výzkum, vývoj a vzdělávání pro ZŠ Komenského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MŠMT z OP - Výzkum, vývoj a  vzdělávání  pro ZŠ Harracha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projekt revitalizace parku v Dolení ul.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0,3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projekt "Rozvoj MA21 v Jilemnici"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0,2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31" w:rsidRDefault="00856D72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projekt "Podpor</w:t>
            </w:r>
            <w:r w:rsidR="00696131">
              <w:rPr>
                <w:rFonts w:ascii="Arial CE" w:hAnsi="Arial CE" w:cs="Arial CE"/>
                <w:sz w:val="16"/>
                <w:szCs w:val="16"/>
              </w:rPr>
              <w:t>a sociální práce v Jilemnici"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1 301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1 301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0,2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Chodník Čsl. legií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MŠMT na projekt Hraběnka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255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Dotace z Libereckého kraje, jejichž vypořádání probíhá podle smluv s LK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18 819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18 819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100,0%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 w:rsidP="002A5EE0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Dotace LK na soc. služby </w:t>
            </w:r>
            <w:r w:rsidR="002A5EE0">
              <w:rPr>
                <w:rFonts w:ascii="Arial CE" w:hAnsi="Arial CE" w:cs="Arial CE"/>
                <w:sz w:val="16"/>
                <w:szCs w:val="16"/>
              </w:rPr>
              <w:t>pro Dětské centrum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6 569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6 569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Dotace LK na pečovatelskou službu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1 144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1 144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LK na obnovu a zajištění porostu lesa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 w:rsidP="002A5EE0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LK pro Z</w:t>
            </w:r>
            <w:r w:rsidR="002A5EE0">
              <w:rPr>
                <w:rFonts w:ascii="Arial CE" w:hAnsi="Arial CE" w:cs="Arial CE"/>
                <w:sz w:val="16"/>
                <w:szCs w:val="16"/>
              </w:rPr>
              <w:t>Š</w:t>
            </w:r>
            <w:r>
              <w:rPr>
                <w:rFonts w:ascii="Arial CE" w:hAnsi="Arial CE" w:cs="Arial CE"/>
                <w:sz w:val="16"/>
                <w:szCs w:val="16"/>
              </w:rPr>
              <w:t xml:space="preserve"> spec. a MŠ spec.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 w:rsidP="002A5EE0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Dotace LK na </w:t>
            </w:r>
            <w:r w:rsidR="002A5EE0">
              <w:rPr>
                <w:rFonts w:ascii="Arial CE" w:hAnsi="Arial CE" w:cs="Arial CE"/>
                <w:sz w:val="16"/>
                <w:szCs w:val="16"/>
              </w:rPr>
              <w:t>Z</w:t>
            </w:r>
            <w:r>
              <w:rPr>
                <w:rFonts w:ascii="Arial CE" w:hAnsi="Arial CE" w:cs="Arial CE"/>
                <w:sz w:val="16"/>
                <w:szCs w:val="16"/>
              </w:rPr>
              <w:t xml:space="preserve">dravá města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LK pro MŠ (potravinová pomoc)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LK na projekt Hraběnka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LK pro požární ochranu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LK na obnovu požární cisterny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696131" w:rsidRPr="003E57FF" w:rsidTr="007A17E3">
        <w:trPr>
          <w:trHeight w:val="285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131" w:rsidRDefault="00696131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Celkem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67 405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67 462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100,1%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57,2</w:t>
            </w:r>
          </w:p>
        </w:tc>
      </w:tr>
    </w:tbl>
    <w:p w:rsidR="00522E21" w:rsidRPr="00C462A3" w:rsidRDefault="00F71F85" w:rsidP="00522E21">
      <w:pPr>
        <w:jc w:val="both"/>
        <w:rPr>
          <w:b/>
          <w:sz w:val="24"/>
          <w:szCs w:val="24"/>
        </w:rPr>
      </w:pPr>
      <w:r w:rsidRPr="00C462A3">
        <w:rPr>
          <w:b/>
          <w:sz w:val="24"/>
          <w:szCs w:val="24"/>
        </w:rPr>
        <w:lastRenderedPageBreak/>
        <w:t>b) Poskytnuté dotace z rozpočtu města za rok 2017</w:t>
      </w:r>
    </w:p>
    <w:p w:rsidR="00F71F85" w:rsidRDefault="00522E21" w:rsidP="00522E21">
      <w:pPr>
        <w:jc w:val="both"/>
        <w:rPr>
          <w:sz w:val="24"/>
          <w:szCs w:val="24"/>
        </w:rPr>
      </w:pPr>
      <w:r w:rsidRPr="00C1301C">
        <w:rPr>
          <w:sz w:val="24"/>
          <w:szCs w:val="24"/>
        </w:rPr>
        <w:t xml:space="preserve">Grantový program: Z grantového programu města bylo poskytnuto </w:t>
      </w:r>
      <w:r w:rsidR="00F71F85" w:rsidRPr="00C1301C">
        <w:rPr>
          <w:sz w:val="24"/>
          <w:szCs w:val="24"/>
        </w:rPr>
        <w:t>46</w:t>
      </w:r>
      <w:r w:rsidRPr="00C1301C">
        <w:rPr>
          <w:sz w:val="24"/>
          <w:szCs w:val="24"/>
        </w:rPr>
        <w:t xml:space="preserve"> dotací v celkové hodnotě </w:t>
      </w:r>
      <w:r w:rsidR="00F71F85" w:rsidRPr="00C1301C">
        <w:rPr>
          <w:sz w:val="24"/>
          <w:szCs w:val="24"/>
        </w:rPr>
        <w:t>1.000</w:t>
      </w:r>
      <w:r w:rsidRPr="00C1301C">
        <w:rPr>
          <w:sz w:val="24"/>
          <w:szCs w:val="24"/>
        </w:rPr>
        <w:t xml:space="preserve"> tis. Kč</w:t>
      </w:r>
      <w:r w:rsidR="00C1301C" w:rsidRPr="00C1301C">
        <w:rPr>
          <w:sz w:val="24"/>
          <w:szCs w:val="24"/>
        </w:rPr>
        <w:t>. Celkem 44 z nich bylo využito a řádně vyúčtováno, dvě dotace byly pro nerealizaci účelu vráceny (10,5 tis. Kč v roce 2017 a 5 tis. Kč v roce 2018).</w:t>
      </w:r>
    </w:p>
    <w:p w:rsidR="00583541" w:rsidRPr="00C1301C" w:rsidRDefault="00583541" w:rsidP="00522E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Grantový program </w:t>
      </w:r>
      <w:r w:rsidR="00653207">
        <w:rPr>
          <w:sz w:val="24"/>
          <w:szCs w:val="24"/>
        </w:rPr>
        <w:t>regenerace městských památkových zón: Poskytnuto 7 dotací v celkové hodnotě 267.060,- Kč.</w:t>
      </w:r>
    </w:p>
    <w:p w:rsidR="00F71F85" w:rsidRDefault="00F71F85" w:rsidP="00522E21">
      <w:pPr>
        <w:jc w:val="both"/>
        <w:rPr>
          <w:sz w:val="24"/>
          <w:szCs w:val="24"/>
        </w:rPr>
      </w:pPr>
      <w:r w:rsidRPr="00C1301C">
        <w:rPr>
          <w:sz w:val="24"/>
          <w:szCs w:val="24"/>
        </w:rPr>
        <w:t xml:space="preserve">Sociální oblast - individuální dotace: </w:t>
      </w:r>
      <w:r w:rsidR="00522E21" w:rsidRPr="00C1301C">
        <w:rPr>
          <w:sz w:val="24"/>
          <w:szCs w:val="24"/>
        </w:rPr>
        <w:t>V oblasti sociálních</w:t>
      </w:r>
      <w:r w:rsidR="00522E21" w:rsidRPr="00522E21">
        <w:rPr>
          <w:sz w:val="24"/>
          <w:szCs w:val="24"/>
        </w:rPr>
        <w:t xml:space="preserve"> služeb bylo poskytnuto osm dotací v celkové výši 152,042 tis. Kč. </w:t>
      </w:r>
      <w:r w:rsidR="00522E21">
        <w:rPr>
          <w:sz w:val="24"/>
          <w:szCs w:val="24"/>
        </w:rPr>
        <w:t>Šest dotací bylo řádně a v termínu vyúčtováno, jedna dotace byla městu v roce 2018 vrácena v celé výši 58 tis. Kč a u jedné byla vyměřena vratka ve výši 5,</w:t>
      </w:r>
      <w:r>
        <w:rPr>
          <w:sz w:val="24"/>
          <w:szCs w:val="24"/>
        </w:rPr>
        <w:t>976 tis. Kč, do doby zpracování závěrečného účtu nebyla zaplacena.</w:t>
      </w:r>
    </w:p>
    <w:p w:rsidR="00C1301C" w:rsidRPr="00C1301C" w:rsidRDefault="00C1301C" w:rsidP="00522E21">
      <w:pPr>
        <w:jc w:val="both"/>
        <w:rPr>
          <w:sz w:val="24"/>
          <w:szCs w:val="24"/>
        </w:rPr>
      </w:pPr>
      <w:r w:rsidRPr="00C1301C">
        <w:rPr>
          <w:sz w:val="24"/>
          <w:szCs w:val="24"/>
        </w:rPr>
        <w:t xml:space="preserve">Ostatní </w:t>
      </w:r>
      <w:r w:rsidR="00F71F85" w:rsidRPr="00C1301C">
        <w:rPr>
          <w:sz w:val="24"/>
          <w:szCs w:val="24"/>
        </w:rPr>
        <w:t>individuální dotace</w:t>
      </w:r>
      <w:r w:rsidR="006202F4">
        <w:rPr>
          <w:sz w:val="24"/>
          <w:szCs w:val="24"/>
        </w:rPr>
        <w:t xml:space="preserve"> byly v roce 2017 poskytnuty těmto subjektům:</w:t>
      </w:r>
    </w:p>
    <w:p w:rsidR="00C1301C" w:rsidRPr="009A0EE4" w:rsidRDefault="00F71F85" w:rsidP="00FF65FD">
      <w:pPr>
        <w:pStyle w:val="Odstavecseseznamem"/>
        <w:numPr>
          <w:ilvl w:val="0"/>
          <w:numId w:val="21"/>
        </w:numPr>
        <w:ind w:left="360"/>
        <w:jc w:val="both"/>
      </w:pPr>
      <w:r w:rsidRPr="009A0EE4">
        <w:t>CMJ o. s. Jilemnice ve výši 100 tis. Kč</w:t>
      </w:r>
      <w:r w:rsidR="00C1301C" w:rsidRPr="009A0EE4">
        <w:t xml:space="preserve"> </w:t>
      </w:r>
      <w:r w:rsidR="006202F4" w:rsidRPr="009A0EE4">
        <w:t xml:space="preserve">na </w:t>
      </w:r>
      <w:r w:rsidR="00C1301C" w:rsidRPr="009A0EE4">
        <w:t>podporu informačního pro mládež</w:t>
      </w:r>
    </w:p>
    <w:p w:rsidR="00C1301C" w:rsidRPr="009A0EE4" w:rsidRDefault="00C1301C" w:rsidP="00FF65FD">
      <w:pPr>
        <w:pStyle w:val="Odstavecseseznamem"/>
        <w:numPr>
          <w:ilvl w:val="0"/>
          <w:numId w:val="21"/>
        </w:numPr>
        <w:ind w:left="360"/>
        <w:jc w:val="both"/>
      </w:pPr>
      <w:r w:rsidRPr="009A0EE4">
        <w:t>VHS Turnov ve výši 3.000 tis. Kč na akci Jilemnice - rekonstrukce vodovodu a kanalizace v Žižkově ulici</w:t>
      </w:r>
      <w:r w:rsidR="006202F4" w:rsidRPr="009A0EE4">
        <w:t xml:space="preserve"> (doplatek ve výši 1.687 tis. Kč bude realizován v roce 2018)</w:t>
      </w:r>
    </w:p>
    <w:p w:rsidR="00FF65FD" w:rsidRPr="009A0EE4" w:rsidRDefault="00FF65FD" w:rsidP="00FF65FD">
      <w:pPr>
        <w:pStyle w:val="Nadpis1"/>
        <w:numPr>
          <w:ilvl w:val="0"/>
          <w:numId w:val="21"/>
        </w:numPr>
        <w:ind w:left="360"/>
        <w:rPr>
          <w:b w:val="0"/>
          <w:sz w:val="20"/>
        </w:rPr>
      </w:pPr>
      <w:r w:rsidRPr="009A0EE4">
        <w:rPr>
          <w:b w:val="0"/>
          <w:sz w:val="20"/>
        </w:rPr>
        <w:t>Krkonošské pivní slavnosti-spolek ve výši 30</w:t>
      </w:r>
      <w:r w:rsidR="00A50C9B">
        <w:rPr>
          <w:b w:val="0"/>
          <w:sz w:val="20"/>
        </w:rPr>
        <w:t xml:space="preserve"> </w:t>
      </w:r>
      <w:r w:rsidRPr="009A0EE4">
        <w:rPr>
          <w:b w:val="0"/>
          <w:sz w:val="20"/>
        </w:rPr>
        <w:t>tis. Kč na akci „ Krkonošské pivní slavnosti Jilemnice“</w:t>
      </w:r>
    </w:p>
    <w:p w:rsidR="00FF65FD" w:rsidRPr="009A0EE4" w:rsidRDefault="00FF65FD" w:rsidP="00FF65FD">
      <w:pPr>
        <w:pStyle w:val="Odstavecseseznamem"/>
        <w:numPr>
          <w:ilvl w:val="0"/>
          <w:numId w:val="21"/>
        </w:numPr>
        <w:ind w:left="360"/>
      </w:pPr>
      <w:r w:rsidRPr="009A0EE4">
        <w:t>TJ Jilemnice ve výši 117,417 tis. Kč na Celoroční sportovní činnost oddílů TJ Jilemnice</w:t>
      </w:r>
    </w:p>
    <w:p w:rsidR="00FF65FD" w:rsidRPr="009A0EE4" w:rsidRDefault="00FF65FD" w:rsidP="00FF65FD">
      <w:pPr>
        <w:pStyle w:val="Odstavecseseznamem"/>
        <w:numPr>
          <w:ilvl w:val="0"/>
          <w:numId w:val="21"/>
        </w:numPr>
        <w:ind w:left="360"/>
      </w:pPr>
      <w:r w:rsidRPr="009A0EE4">
        <w:t>Sportovní klub NIKÉ</w:t>
      </w:r>
      <w:r w:rsidR="00A50C9B">
        <w:t xml:space="preserve"> Jilemnice ve výši 48,14</w:t>
      </w:r>
      <w:r w:rsidRPr="009A0EE4">
        <w:t xml:space="preserve"> tis. Kč na projekt „Plavání Jilemnice“.</w:t>
      </w:r>
    </w:p>
    <w:p w:rsidR="006202F4" w:rsidRPr="009A0EE4" w:rsidRDefault="009A0EE4" w:rsidP="00FF65FD">
      <w:pPr>
        <w:pStyle w:val="Odstavecseseznamem"/>
        <w:numPr>
          <w:ilvl w:val="0"/>
          <w:numId w:val="21"/>
        </w:numPr>
        <w:ind w:left="360"/>
        <w:jc w:val="both"/>
      </w:pPr>
      <w:r w:rsidRPr="009A0EE4">
        <w:t xml:space="preserve">VHS Turnov ve výši povinného podílu k úrokům 62,416 tis. Kč k projektu „Čistá Jizera I“  </w:t>
      </w:r>
    </w:p>
    <w:p w:rsidR="009A0EE4" w:rsidRPr="009A0EE4" w:rsidRDefault="00A50C9B" w:rsidP="00FF65FD">
      <w:pPr>
        <w:pStyle w:val="Odstavecseseznamem"/>
        <w:numPr>
          <w:ilvl w:val="0"/>
          <w:numId w:val="21"/>
        </w:numPr>
        <w:ind w:left="360"/>
        <w:jc w:val="both"/>
      </w:pPr>
      <w:r>
        <w:t>Správa KRNAP ve výši 1,</w:t>
      </w:r>
      <w:r w:rsidR="009A0EE4" w:rsidRPr="009A0EE4">
        <w:t>2 tis. Kč na provoz Krkonošského muzea v Jilemnici</w:t>
      </w:r>
    </w:p>
    <w:p w:rsidR="009A0EE4" w:rsidRPr="009A0EE4" w:rsidRDefault="009A0EE4" w:rsidP="00FF65FD">
      <w:pPr>
        <w:pStyle w:val="Odstavecseseznamem"/>
        <w:numPr>
          <w:ilvl w:val="0"/>
          <w:numId w:val="21"/>
        </w:numPr>
        <w:ind w:left="360"/>
        <w:jc w:val="both"/>
      </w:pPr>
      <w:r w:rsidRPr="009A0EE4">
        <w:t>Liberecký kraj ve výši 4</w:t>
      </w:r>
      <w:r w:rsidR="00A50C9B">
        <w:t xml:space="preserve">96,35 tis. </w:t>
      </w:r>
      <w:r w:rsidRPr="009A0EE4">
        <w:t xml:space="preserve"> Kč na zajištění dopravní obslužnosti</w:t>
      </w:r>
    </w:p>
    <w:p w:rsidR="009A0EE4" w:rsidRPr="009A0EE4" w:rsidRDefault="009A0EE4" w:rsidP="009A0EE4">
      <w:pPr>
        <w:pStyle w:val="Odstavecseseznamem"/>
        <w:ind w:left="360"/>
        <w:jc w:val="both"/>
        <w:rPr>
          <w:sz w:val="24"/>
          <w:szCs w:val="24"/>
        </w:rPr>
      </w:pPr>
    </w:p>
    <w:p w:rsidR="00522E21" w:rsidRDefault="00522E21" w:rsidP="00522E21">
      <w:pPr>
        <w:jc w:val="both"/>
        <w:rPr>
          <w:sz w:val="24"/>
          <w:szCs w:val="24"/>
        </w:rPr>
      </w:pPr>
      <w:r w:rsidRPr="00E3078D">
        <w:rPr>
          <w:sz w:val="24"/>
          <w:szCs w:val="24"/>
        </w:rPr>
        <w:t>U všech poskytnutých dotací byly splněny podmínky pro jejich čerpání a tyto dotace byly městu vyúčtovány.</w:t>
      </w:r>
      <w:r w:rsidR="00E3078D">
        <w:rPr>
          <w:sz w:val="24"/>
          <w:szCs w:val="24"/>
        </w:rPr>
        <w:t xml:space="preserve"> Veřejnosprávní kontroly </w:t>
      </w:r>
      <w:r w:rsidR="002C7D24">
        <w:rPr>
          <w:sz w:val="24"/>
          <w:szCs w:val="24"/>
        </w:rPr>
        <w:t>týkající se splnění všech podmínek ze strany příjemců dotací</w:t>
      </w:r>
      <w:r w:rsidRPr="0007337F">
        <w:rPr>
          <w:sz w:val="24"/>
          <w:szCs w:val="24"/>
        </w:rPr>
        <w:t xml:space="preserve"> </w:t>
      </w:r>
      <w:r w:rsidR="002C7D24">
        <w:rPr>
          <w:sz w:val="24"/>
          <w:szCs w:val="24"/>
        </w:rPr>
        <w:t>jsou prováděny průběžně podle Zákona č. 250/2000 Sb. o rozpočtových pravidlech územních rozpočtů.</w:t>
      </w:r>
    </w:p>
    <w:p w:rsidR="00522E21" w:rsidRPr="001C7B95" w:rsidRDefault="00522E21" w:rsidP="00106D3A">
      <w:pPr>
        <w:jc w:val="both"/>
        <w:rPr>
          <w:sz w:val="24"/>
          <w:szCs w:val="24"/>
        </w:rPr>
      </w:pPr>
    </w:p>
    <w:p w:rsidR="00131904" w:rsidRPr="00BE4363" w:rsidRDefault="00B929EA" w:rsidP="00B929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6) </w:t>
      </w:r>
      <w:r w:rsidR="00131904" w:rsidRPr="00BE4363">
        <w:rPr>
          <w:b/>
          <w:sz w:val="24"/>
          <w:szCs w:val="24"/>
        </w:rPr>
        <w:t>Zpráva o vý</w:t>
      </w:r>
      <w:r w:rsidR="00C02095" w:rsidRPr="00BE4363">
        <w:rPr>
          <w:b/>
          <w:sz w:val="24"/>
          <w:szCs w:val="24"/>
        </w:rPr>
        <w:t xml:space="preserve">sledku přezkoumání hospodaření </w:t>
      </w:r>
      <w:r w:rsidR="008443C7" w:rsidRPr="00BE4363">
        <w:rPr>
          <w:b/>
          <w:sz w:val="24"/>
          <w:szCs w:val="24"/>
        </w:rPr>
        <w:t>m</w:t>
      </w:r>
      <w:r w:rsidR="00131904" w:rsidRPr="00BE4363">
        <w:rPr>
          <w:b/>
          <w:sz w:val="24"/>
          <w:szCs w:val="24"/>
        </w:rPr>
        <w:t xml:space="preserve">ěsta Jilemnice za </w:t>
      </w:r>
      <w:r w:rsidR="00C02095" w:rsidRPr="00BE4363">
        <w:rPr>
          <w:b/>
          <w:sz w:val="24"/>
          <w:szCs w:val="24"/>
        </w:rPr>
        <w:t xml:space="preserve">rok </w:t>
      </w:r>
      <w:r w:rsidR="001C3077">
        <w:rPr>
          <w:b/>
          <w:sz w:val="24"/>
          <w:szCs w:val="24"/>
        </w:rPr>
        <w:t>2017</w:t>
      </w:r>
    </w:p>
    <w:p w:rsidR="00131904" w:rsidRPr="00BE4363" w:rsidRDefault="00131904" w:rsidP="00C33596">
      <w:pPr>
        <w:ind w:firstLine="360"/>
        <w:jc w:val="both"/>
        <w:rPr>
          <w:sz w:val="24"/>
          <w:szCs w:val="24"/>
        </w:rPr>
      </w:pPr>
      <w:r w:rsidRPr="00BE4363">
        <w:rPr>
          <w:sz w:val="24"/>
          <w:szCs w:val="24"/>
        </w:rPr>
        <w:t>Přezkoumá</w:t>
      </w:r>
      <w:r w:rsidR="004A0BD8" w:rsidRPr="00BE4363">
        <w:rPr>
          <w:sz w:val="24"/>
          <w:szCs w:val="24"/>
        </w:rPr>
        <w:t>ní hospodaření města za rok 20</w:t>
      </w:r>
      <w:r w:rsidR="002E7723" w:rsidRPr="00BE4363">
        <w:rPr>
          <w:sz w:val="24"/>
          <w:szCs w:val="24"/>
        </w:rPr>
        <w:t>1</w:t>
      </w:r>
      <w:r w:rsidR="002F7DFC">
        <w:rPr>
          <w:sz w:val="24"/>
          <w:szCs w:val="24"/>
        </w:rPr>
        <w:t>6</w:t>
      </w:r>
      <w:r w:rsidR="00957F69" w:rsidRPr="00BE4363">
        <w:rPr>
          <w:sz w:val="24"/>
          <w:szCs w:val="24"/>
        </w:rPr>
        <w:t xml:space="preserve"> provedl</w:t>
      </w:r>
      <w:r w:rsidR="001A1BB3" w:rsidRPr="00BE4363">
        <w:rPr>
          <w:sz w:val="24"/>
          <w:szCs w:val="24"/>
        </w:rPr>
        <w:t xml:space="preserve"> Krajský úřad Libereckého kraje, odbor kontroly. Řízením přezkoumání hospodaření byl pověřen</w:t>
      </w:r>
      <w:r w:rsidR="00BB4481">
        <w:rPr>
          <w:sz w:val="24"/>
          <w:szCs w:val="24"/>
        </w:rPr>
        <w:t xml:space="preserve"> </w:t>
      </w:r>
      <w:r w:rsidR="001A1BB3" w:rsidRPr="00BE4363">
        <w:rPr>
          <w:sz w:val="24"/>
          <w:szCs w:val="24"/>
        </w:rPr>
        <w:t xml:space="preserve"> </w:t>
      </w:r>
      <w:r w:rsidR="001A1BB3" w:rsidRPr="00EC0377">
        <w:rPr>
          <w:sz w:val="24"/>
          <w:szCs w:val="24"/>
        </w:rPr>
        <w:t xml:space="preserve">Ing. </w:t>
      </w:r>
      <w:r w:rsidR="00BB4481">
        <w:rPr>
          <w:sz w:val="24"/>
          <w:szCs w:val="24"/>
        </w:rPr>
        <w:t>Jiří</w:t>
      </w:r>
      <w:r w:rsidR="007A6208" w:rsidRPr="00EC0377">
        <w:rPr>
          <w:sz w:val="24"/>
          <w:szCs w:val="24"/>
        </w:rPr>
        <w:t xml:space="preserve"> </w:t>
      </w:r>
      <w:r w:rsidR="00BB4481">
        <w:rPr>
          <w:sz w:val="24"/>
          <w:szCs w:val="24"/>
        </w:rPr>
        <w:t>Heršálek.</w:t>
      </w:r>
    </w:p>
    <w:p w:rsidR="00131904" w:rsidRPr="00BE4363" w:rsidRDefault="00131904" w:rsidP="00C33596">
      <w:pPr>
        <w:ind w:firstLine="360"/>
        <w:jc w:val="both"/>
        <w:rPr>
          <w:sz w:val="24"/>
          <w:szCs w:val="24"/>
        </w:rPr>
      </w:pPr>
      <w:r w:rsidRPr="00BE4363">
        <w:rPr>
          <w:sz w:val="24"/>
          <w:szCs w:val="24"/>
        </w:rPr>
        <w:t>Přezkoumání hospodaření bylo provedeno v souladu</w:t>
      </w:r>
      <w:r w:rsidR="000F518D" w:rsidRPr="00BE4363">
        <w:rPr>
          <w:sz w:val="24"/>
          <w:szCs w:val="24"/>
        </w:rPr>
        <w:t> se zákonem 420/2004</w:t>
      </w:r>
      <w:r w:rsidRPr="00BE4363">
        <w:rPr>
          <w:sz w:val="24"/>
          <w:szCs w:val="24"/>
        </w:rPr>
        <w:t xml:space="preserve"> Sb</w:t>
      </w:r>
      <w:r w:rsidR="00BB4481">
        <w:rPr>
          <w:sz w:val="24"/>
          <w:szCs w:val="24"/>
        </w:rPr>
        <w:t>.,</w:t>
      </w:r>
      <w:r w:rsidRPr="00BE4363">
        <w:rPr>
          <w:sz w:val="24"/>
          <w:szCs w:val="24"/>
        </w:rPr>
        <w:t xml:space="preserve"> </w:t>
      </w:r>
      <w:r w:rsidR="009F75D2" w:rsidRPr="00BE4363">
        <w:rPr>
          <w:sz w:val="24"/>
          <w:szCs w:val="24"/>
        </w:rPr>
        <w:t>o přezkoumávání hospodaření územních samosprávných celků a dobrovolných svazků obcí</w:t>
      </w:r>
      <w:r w:rsidR="000F518D" w:rsidRPr="00BE4363">
        <w:rPr>
          <w:sz w:val="24"/>
          <w:szCs w:val="24"/>
        </w:rPr>
        <w:t xml:space="preserve">. </w:t>
      </w:r>
      <w:r w:rsidRPr="00BE4363">
        <w:rPr>
          <w:sz w:val="24"/>
          <w:szCs w:val="24"/>
        </w:rPr>
        <w:t>Cílem je ověření, zda hospodaření obce odpovídá závazným právním předpisům, především zákonu o obcích, o rozpočtových pravidlech územně samosprávných celků, o účetnictví, o zadávání veřejných zakázek, příp. dalším předpisům upravující hospodaření obce.</w:t>
      </w:r>
      <w:r w:rsidR="00C02095" w:rsidRPr="00BE4363">
        <w:rPr>
          <w:sz w:val="24"/>
          <w:szCs w:val="24"/>
        </w:rPr>
        <w:t xml:space="preserve"> </w:t>
      </w:r>
    </w:p>
    <w:p w:rsidR="00B72C5A" w:rsidRPr="002C7D24" w:rsidRDefault="000F518D" w:rsidP="002C7D24">
      <w:pPr>
        <w:ind w:firstLine="360"/>
        <w:jc w:val="both"/>
        <w:rPr>
          <w:b/>
          <w:sz w:val="24"/>
          <w:szCs w:val="24"/>
        </w:rPr>
      </w:pPr>
      <w:r w:rsidRPr="00EC0377">
        <w:rPr>
          <w:sz w:val="24"/>
          <w:szCs w:val="24"/>
        </w:rPr>
        <w:t xml:space="preserve">Závěr zprávy o výsledku přezkoumání hospodaření zní: </w:t>
      </w:r>
      <w:r w:rsidRPr="00601444">
        <w:rPr>
          <w:b/>
          <w:sz w:val="24"/>
          <w:szCs w:val="24"/>
        </w:rPr>
        <w:t>Nebyly zjištěny</w:t>
      </w:r>
      <w:r w:rsidR="001A1BB3" w:rsidRPr="00601444">
        <w:rPr>
          <w:b/>
          <w:sz w:val="24"/>
          <w:szCs w:val="24"/>
        </w:rPr>
        <w:t xml:space="preserve"> chyby a</w:t>
      </w:r>
      <w:r w:rsidRPr="00601444">
        <w:rPr>
          <w:b/>
          <w:sz w:val="24"/>
          <w:szCs w:val="24"/>
        </w:rPr>
        <w:t xml:space="preserve"> nedostatky</w:t>
      </w:r>
      <w:r w:rsidR="00C33596" w:rsidRPr="00601444">
        <w:rPr>
          <w:b/>
          <w:sz w:val="24"/>
          <w:szCs w:val="24"/>
        </w:rPr>
        <w:t>.</w:t>
      </w:r>
      <w:r w:rsidRPr="00BE4363">
        <w:rPr>
          <w:b/>
          <w:sz w:val="24"/>
          <w:szCs w:val="24"/>
        </w:rPr>
        <w:tab/>
      </w:r>
    </w:p>
    <w:p w:rsidR="00131904" w:rsidRPr="001F170D" w:rsidRDefault="00131904">
      <w:pPr>
        <w:rPr>
          <w:b/>
          <w:sz w:val="24"/>
          <w:szCs w:val="24"/>
        </w:rPr>
      </w:pPr>
      <w:r w:rsidRPr="001F170D">
        <w:rPr>
          <w:b/>
          <w:sz w:val="24"/>
          <w:szCs w:val="24"/>
        </w:rPr>
        <w:t>Přílohy:</w:t>
      </w:r>
    </w:p>
    <w:p w:rsidR="00131904" w:rsidRDefault="007B52F7" w:rsidP="00B72C5A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Přehled</w:t>
      </w:r>
      <w:r w:rsidR="00131904" w:rsidRPr="00B929EA">
        <w:rPr>
          <w:sz w:val="24"/>
          <w:szCs w:val="24"/>
        </w:rPr>
        <w:t xml:space="preserve"> příjmů a výdajů za </w:t>
      </w:r>
      <w:r w:rsidR="00D924E7" w:rsidRPr="00B929EA">
        <w:rPr>
          <w:sz w:val="24"/>
          <w:szCs w:val="24"/>
        </w:rPr>
        <w:t xml:space="preserve">rok </w:t>
      </w:r>
      <w:r w:rsidR="001C3077">
        <w:rPr>
          <w:sz w:val="24"/>
          <w:szCs w:val="24"/>
        </w:rPr>
        <w:t>2017,</w:t>
      </w:r>
      <w:r w:rsidR="00925686" w:rsidRPr="00B929EA">
        <w:rPr>
          <w:sz w:val="24"/>
          <w:szCs w:val="24"/>
        </w:rPr>
        <w:t xml:space="preserve"> přehled hospodaření příspěvkových organizací a údaje o jejich majetku za rok </w:t>
      </w:r>
      <w:r w:rsidR="001C3077">
        <w:rPr>
          <w:sz w:val="24"/>
          <w:szCs w:val="24"/>
        </w:rPr>
        <w:t>2017</w:t>
      </w:r>
    </w:p>
    <w:p w:rsidR="00EB5B24" w:rsidRPr="00B929EA" w:rsidRDefault="00EB5B24" w:rsidP="00B72C5A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Se</w:t>
      </w:r>
      <w:r w:rsidR="001C3077">
        <w:rPr>
          <w:sz w:val="24"/>
          <w:szCs w:val="24"/>
        </w:rPr>
        <w:t>stava Závěrečný účet za rok 2017</w:t>
      </w:r>
      <w:r>
        <w:rPr>
          <w:sz w:val="24"/>
          <w:szCs w:val="24"/>
        </w:rPr>
        <w:t xml:space="preserve"> – plné členění podle rozpočtové skladby</w:t>
      </w:r>
    </w:p>
    <w:p w:rsidR="00131904" w:rsidRPr="00B929EA" w:rsidRDefault="00131904" w:rsidP="00B72C5A">
      <w:pPr>
        <w:numPr>
          <w:ilvl w:val="0"/>
          <w:numId w:val="16"/>
        </w:numPr>
        <w:rPr>
          <w:sz w:val="24"/>
          <w:szCs w:val="24"/>
        </w:rPr>
      </w:pPr>
      <w:r w:rsidRPr="00B929EA">
        <w:rPr>
          <w:sz w:val="24"/>
          <w:szCs w:val="24"/>
        </w:rPr>
        <w:t>Zpráva o výsled</w:t>
      </w:r>
      <w:r w:rsidR="009F75D2" w:rsidRPr="00B929EA">
        <w:rPr>
          <w:sz w:val="24"/>
          <w:szCs w:val="24"/>
        </w:rPr>
        <w:t>ku</w:t>
      </w:r>
      <w:r w:rsidRPr="00B929EA">
        <w:rPr>
          <w:sz w:val="24"/>
          <w:szCs w:val="24"/>
        </w:rPr>
        <w:t xml:space="preserve"> přezkoumání hospoda</w:t>
      </w:r>
      <w:r w:rsidR="00D924E7" w:rsidRPr="00B929EA">
        <w:rPr>
          <w:sz w:val="24"/>
          <w:szCs w:val="24"/>
        </w:rPr>
        <w:t xml:space="preserve">ření </w:t>
      </w:r>
      <w:r w:rsidR="003B7FD9" w:rsidRPr="00B929EA">
        <w:rPr>
          <w:sz w:val="24"/>
          <w:szCs w:val="24"/>
        </w:rPr>
        <w:t>m</w:t>
      </w:r>
      <w:r w:rsidR="00D924E7" w:rsidRPr="00B929EA">
        <w:rPr>
          <w:sz w:val="24"/>
          <w:szCs w:val="24"/>
        </w:rPr>
        <w:t>ěsta Jilem</w:t>
      </w:r>
      <w:r w:rsidR="00DB55FE" w:rsidRPr="00B929EA">
        <w:rPr>
          <w:sz w:val="24"/>
          <w:szCs w:val="24"/>
        </w:rPr>
        <w:t xml:space="preserve">nice za rok </w:t>
      </w:r>
      <w:r w:rsidR="001C3077">
        <w:rPr>
          <w:sz w:val="24"/>
          <w:szCs w:val="24"/>
        </w:rPr>
        <w:t>2017</w:t>
      </w:r>
    </w:p>
    <w:p w:rsidR="007B52F7" w:rsidRDefault="007B52F7" w:rsidP="007B52F7">
      <w:pPr>
        <w:ind w:left="360"/>
        <w:rPr>
          <w:sz w:val="24"/>
          <w:szCs w:val="24"/>
        </w:rPr>
      </w:pPr>
    </w:p>
    <w:p w:rsidR="007B52F7" w:rsidRDefault="00B72C5A" w:rsidP="007B52F7">
      <w:pPr>
        <w:ind w:left="360"/>
        <w:rPr>
          <w:sz w:val="24"/>
          <w:szCs w:val="24"/>
        </w:rPr>
      </w:pPr>
      <w:r w:rsidRPr="00B929EA">
        <w:rPr>
          <w:sz w:val="24"/>
          <w:szCs w:val="24"/>
        </w:rPr>
        <w:t>Účetní vý</w:t>
      </w:r>
      <w:r w:rsidR="00F94B91" w:rsidRPr="00B929EA">
        <w:rPr>
          <w:sz w:val="24"/>
          <w:szCs w:val="24"/>
        </w:rPr>
        <w:t xml:space="preserve">kazy města Jilemnice za rok </w:t>
      </w:r>
      <w:r w:rsidR="001C3077">
        <w:rPr>
          <w:sz w:val="24"/>
          <w:szCs w:val="24"/>
        </w:rPr>
        <w:t>2017</w:t>
      </w:r>
      <w:r w:rsidR="00BE4363" w:rsidRPr="00B929EA">
        <w:rPr>
          <w:sz w:val="24"/>
          <w:szCs w:val="24"/>
        </w:rPr>
        <w:t xml:space="preserve"> </w:t>
      </w:r>
      <w:r w:rsidRPr="00B929EA">
        <w:rPr>
          <w:sz w:val="24"/>
          <w:szCs w:val="24"/>
        </w:rPr>
        <w:t>(výkaz pro hodnocení plnění rozpočtu USC, výkaz zisku a ztráty, rozvaha, příloha)</w:t>
      </w:r>
      <w:r w:rsidR="007B52F7">
        <w:rPr>
          <w:sz w:val="24"/>
          <w:szCs w:val="24"/>
        </w:rPr>
        <w:t xml:space="preserve"> jsou k dispozici na finančním odboru města Jilemnice a zveřejněny na stránkách ministerstva financí ČR:</w:t>
      </w:r>
    </w:p>
    <w:bookmarkStart w:id="1" w:name="_GoBack"/>
    <w:p w:rsidR="007B52F7" w:rsidRPr="007B52F7" w:rsidRDefault="00916C8A" w:rsidP="007B52F7">
      <w:pPr>
        <w:ind w:left="360"/>
        <w:rPr>
          <w:rFonts w:ascii="Arial" w:hAnsi="Arial" w:cs="Arial"/>
        </w:rPr>
      </w:pPr>
      <w:r>
        <w:fldChar w:fldCharType="begin"/>
      </w:r>
      <w:r>
        <w:instrText xml:space="preserve"> HYPERLINK "http://monitor.statnipokladna.cz/2016/obce/detail/00275808" </w:instrText>
      </w:r>
      <w:r>
        <w:fldChar w:fldCharType="separate"/>
      </w:r>
      <w:r w:rsidR="007B52F7" w:rsidRPr="002178E8">
        <w:rPr>
          <w:rStyle w:val="Hypertextovodkaz"/>
          <w:rFonts w:ascii="Arial" w:hAnsi="Arial" w:cs="Arial"/>
        </w:rPr>
        <w:t>http://monitor.statnipokladna.cz/2016/obce/detail/00275808</w:t>
      </w:r>
      <w:r>
        <w:rPr>
          <w:rStyle w:val="Hypertextovodkaz"/>
          <w:rFonts w:ascii="Arial" w:hAnsi="Arial" w:cs="Arial"/>
        </w:rPr>
        <w:fldChar w:fldCharType="end"/>
      </w:r>
    </w:p>
    <w:bookmarkEnd w:id="1"/>
    <w:p w:rsidR="007B52F7" w:rsidRPr="007B52F7" w:rsidRDefault="007B52F7" w:rsidP="007B52F7">
      <w:pPr>
        <w:ind w:left="360"/>
        <w:rPr>
          <w:sz w:val="24"/>
          <w:szCs w:val="24"/>
          <w:highlight w:val="yellow"/>
        </w:rPr>
      </w:pPr>
    </w:p>
    <w:p w:rsidR="00ED03D1" w:rsidRPr="0095369B" w:rsidRDefault="00ED03D1" w:rsidP="00ED03D1">
      <w:pPr>
        <w:rPr>
          <w:sz w:val="24"/>
          <w:szCs w:val="24"/>
        </w:rPr>
      </w:pPr>
      <w:r w:rsidRPr="0095369B">
        <w:rPr>
          <w:sz w:val="24"/>
          <w:szCs w:val="24"/>
        </w:rPr>
        <w:t xml:space="preserve">Závěrečný účet města Jilemnice schválilo ZM dne </w:t>
      </w:r>
      <w:r>
        <w:rPr>
          <w:sz w:val="24"/>
          <w:szCs w:val="24"/>
        </w:rPr>
        <w:t>27.6.2018</w:t>
      </w:r>
      <w:r w:rsidRPr="0095369B">
        <w:rPr>
          <w:sz w:val="24"/>
          <w:szCs w:val="24"/>
        </w:rPr>
        <w:t xml:space="preserve"> pod č. usn. č. </w:t>
      </w:r>
      <w:r>
        <w:rPr>
          <w:sz w:val="24"/>
          <w:szCs w:val="24"/>
        </w:rPr>
        <w:t>43/18</w:t>
      </w:r>
    </w:p>
    <w:p w:rsidR="00D148D2" w:rsidRDefault="00D148D2" w:rsidP="00D148D2">
      <w:pPr>
        <w:rPr>
          <w:sz w:val="24"/>
          <w:szCs w:val="24"/>
          <w:highlight w:val="yellow"/>
        </w:rPr>
      </w:pPr>
    </w:p>
    <w:p w:rsidR="001F170D" w:rsidRPr="001F170D" w:rsidRDefault="001F170D">
      <w:pPr>
        <w:rPr>
          <w:sz w:val="24"/>
          <w:szCs w:val="24"/>
        </w:rPr>
      </w:pPr>
    </w:p>
    <w:p w:rsidR="00220A52" w:rsidRDefault="00131904">
      <w:pPr>
        <w:rPr>
          <w:sz w:val="24"/>
          <w:szCs w:val="24"/>
        </w:rPr>
      </w:pPr>
      <w:r w:rsidRPr="001F170D">
        <w:rPr>
          <w:sz w:val="24"/>
          <w:szCs w:val="24"/>
        </w:rPr>
        <w:t xml:space="preserve">V Jilemnici </w:t>
      </w:r>
      <w:r w:rsidR="00ED03D1">
        <w:rPr>
          <w:sz w:val="24"/>
          <w:szCs w:val="24"/>
        </w:rPr>
        <w:t>10.7.2018</w:t>
      </w:r>
    </w:p>
    <w:p w:rsidR="00BB4481" w:rsidRDefault="00BB4481">
      <w:pPr>
        <w:rPr>
          <w:sz w:val="24"/>
          <w:szCs w:val="24"/>
        </w:rPr>
      </w:pPr>
    </w:p>
    <w:p w:rsidR="00BB4481" w:rsidRDefault="00BB4481">
      <w:pPr>
        <w:rPr>
          <w:sz w:val="24"/>
          <w:szCs w:val="24"/>
        </w:rPr>
      </w:pPr>
    </w:p>
    <w:p w:rsidR="00131904" w:rsidRPr="001F170D" w:rsidRDefault="001F170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03D1">
        <w:rPr>
          <w:sz w:val="24"/>
          <w:szCs w:val="24"/>
        </w:rPr>
        <w:tab/>
      </w:r>
      <w:r w:rsidR="00ED03D1">
        <w:rPr>
          <w:sz w:val="24"/>
          <w:szCs w:val="24"/>
        </w:rPr>
        <w:tab/>
      </w:r>
      <w:r w:rsidR="00ED03D1">
        <w:rPr>
          <w:sz w:val="24"/>
          <w:szCs w:val="24"/>
        </w:rPr>
        <w:tab/>
      </w:r>
      <w:r w:rsidR="00ED03D1">
        <w:rPr>
          <w:sz w:val="24"/>
          <w:szCs w:val="24"/>
        </w:rPr>
        <w:tab/>
      </w:r>
      <w:r w:rsidR="00ED03D1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>Ing. Miroslava Kynčlová</w:t>
      </w:r>
    </w:p>
    <w:p w:rsidR="00131904" w:rsidRDefault="001F170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>vedoucí finančního odboru</w:t>
      </w:r>
    </w:p>
    <w:p w:rsidR="00984AA7" w:rsidRDefault="00984AA7">
      <w:pPr>
        <w:rPr>
          <w:sz w:val="24"/>
          <w:szCs w:val="24"/>
        </w:rPr>
      </w:pPr>
    </w:p>
    <w:p w:rsidR="00984AA7" w:rsidRDefault="00984AA7">
      <w:pPr>
        <w:rPr>
          <w:sz w:val="24"/>
          <w:szCs w:val="24"/>
        </w:rPr>
      </w:pPr>
    </w:p>
    <w:p w:rsidR="008839EA" w:rsidRDefault="008839EA">
      <w:pPr>
        <w:rPr>
          <w:sz w:val="24"/>
          <w:szCs w:val="24"/>
        </w:rPr>
      </w:pPr>
    </w:p>
    <w:p w:rsidR="008839EA" w:rsidRDefault="008839EA">
      <w:pPr>
        <w:rPr>
          <w:sz w:val="24"/>
          <w:szCs w:val="24"/>
        </w:rPr>
      </w:pPr>
    </w:p>
    <w:p w:rsidR="00984AA7" w:rsidRDefault="00984AA7" w:rsidP="00984AA7"/>
    <w:p w:rsidR="00ED03D1" w:rsidRPr="00F73775" w:rsidRDefault="00ED03D1" w:rsidP="00ED03D1">
      <w:r w:rsidRPr="00F73775">
        <w:t xml:space="preserve">V elektronické podobě vyvěšeno od: </w:t>
      </w:r>
      <w:r>
        <w:t>10.7.2018</w:t>
      </w:r>
    </w:p>
    <w:p w:rsidR="00ED03D1" w:rsidRPr="00F73775" w:rsidRDefault="00ED03D1" w:rsidP="00ED03D1"/>
    <w:p w:rsidR="00ED03D1" w:rsidRPr="00F73775" w:rsidRDefault="00ED03D1" w:rsidP="00ED03D1"/>
    <w:p w:rsidR="00ED03D1" w:rsidRPr="00F73775" w:rsidRDefault="00ED03D1" w:rsidP="00ED03D1">
      <w:r w:rsidRPr="00F73775">
        <w:t xml:space="preserve">V elektronické podobě vyvěšeno do: </w:t>
      </w:r>
      <w:r>
        <w:t>neomezeně</w:t>
      </w:r>
    </w:p>
    <w:p w:rsidR="00ED03D1" w:rsidRPr="00F73775" w:rsidRDefault="00ED03D1" w:rsidP="00ED03D1"/>
    <w:p w:rsidR="00ED03D1" w:rsidRPr="00F73775" w:rsidRDefault="00ED03D1" w:rsidP="00ED03D1"/>
    <w:p w:rsidR="00ED03D1" w:rsidRPr="00F73775" w:rsidRDefault="00ED03D1" w:rsidP="00ED03D1"/>
    <w:p w:rsidR="00ED03D1" w:rsidRPr="00F73775" w:rsidRDefault="00ED03D1" w:rsidP="00ED03D1">
      <w:r w:rsidRPr="00F73775">
        <w:t>Podpis oprávněné osoby, potvrzující zveřejnění:</w:t>
      </w:r>
    </w:p>
    <w:p w:rsidR="00984AA7" w:rsidRPr="001F170D" w:rsidRDefault="00984AA7" w:rsidP="00ED03D1">
      <w:pPr>
        <w:rPr>
          <w:sz w:val="24"/>
          <w:szCs w:val="24"/>
        </w:rPr>
      </w:pPr>
    </w:p>
    <w:sectPr w:rsidR="00984AA7" w:rsidRPr="001F170D" w:rsidSect="00430EC3">
      <w:headerReference w:type="default" r:id="rId9"/>
      <w:pgSz w:w="11906" w:h="16838" w:code="9"/>
      <w:pgMar w:top="851" w:right="1134" w:bottom="737" w:left="1304" w:header="51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8A" w:rsidRDefault="00916C8A">
      <w:r>
        <w:separator/>
      </w:r>
    </w:p>
  </w:endnote>
  <w:endnote w:type="continuationSeparator" w:id="0">
    <w:p w:rsidR="00916C8A" w:rsidRDefault="0091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8A" w:rsidRDefault="00916C8A">
      <w:r>
        <w:separator/>
      </w:r>
    </w:p>
  </w:footnote>
  <w:footnote w:type="continuationSeparator" w:id="0">
    <w:p w:rsidR="00916C8A" w:rsidRDefault="00916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8D" w:rsidRDefault="00E3078D" w:rsidP="00E12E50">
    <w:pPr>
      <w:pStyle w:val="Zhlav"/>
      <w:ind w:left="36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D03D1">
      <w:rPr>
        <w:noProof/>
      </w:rPr>
      <w:t>8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EE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9E70808"/>
    <w:multiLevelType w:val="hybridMultilevel"/>
    <w:tmpl w:val="86722D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1B03"/>
    <w:multiLevelType w:val="hybridMultilevel"/>
    <w:tmpl w:val="6E24E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658B3"/>
    <w:multiLevelType w:val="singleLevel"/>
    <w:tmpl w:val="18524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17E84C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FA03EA2"/>
    <w:multiLevelType w:val="hybridMultilevel"/>
    <w:tmpl w:val="1AD0FE1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FA4715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5A0166"/>
    <w:multiLevelType w:val="hybridMultilevel"/>
    <w:tmpl w:val="C016B6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54DB7"/>
    <w:multiLevelType w:val="hybridMultilevel"/>
    <w:tmpl w:val="8AEC045A"/>
    <w:lvl w:ilvl="0" w:tplc="9C7262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5B59DA"/>
    <w:multiLevelType w:val="hybridMultilevel"/>
    <w:tmpl w:val="6F78E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042D3"/>
    <w:multiLevelType w:val="hybridMultilevel"/>
    <w:tmpl w:val="E8F6D68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C18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1992B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6BF3563"/>
    <w:multiLevelType w:val="hybridMultilevel"/>
    <w:tmpl w:val="3E9EC0C2"/>
    <w:lvl w:ilvl="0" w:tplc="0E90ED0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5834186E"/>
    <w:multiLevelType w:val="hybridMultilevel"/>
    <w:tmpl w:val="B4D4B508"/>
    <w:lvl w:ilvl="0" w:tplc="20AA84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0661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97827FA"/>
    <w:multiLevelType w:val="hybridMultilevel"/>
    <w:tmpl w:val="BF6C35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932A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3183C68"/>
    <w:multiLevelType w:val="hybridMultilevel"/>
    <w:tmpl w:val="21A2AED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252BEE"/>
    <w:multiLevelType w:val="hybridMultilevel"/>
    <w:tmpl w:val="663EC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60057"/>
    <w:multiLevelType w:val="singleLevel"/>
    <w:tmpl w:val="84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20"/>
  </w:num>
  <w:num w:numId="5">
    <w:abstractNumId w:val="17"/>
  </w:num>
  <w:num w:numId="6">
    <w:abstractNumId w:val="5"/>
  </w:num>
  <w:num w:numId="7">
    <w:abstractNumId w:val="3"/>
  </w:num>
  <w:num w:numId="8">
    <w:abstractNumId w:val="6"/>
  </w:num>
  <w:num w:numId="9">
    <w:abstractNumId w:val="11"/>
  </w:num>
  <w:num w:numId="10">
    <w:abstractNumId w:val="15"/>
  </w:num>
  <w:num w:numId="11">
    <w:abstractNumId w:val="16"/>
  </w:num>
  <w:num w:numId="12">
    <w:abstractNumId w:val="18"/>
  </w:num>
  <w:num w:numId="13">
    <w:abstractNumId w:val="1"/>
  </w:num>
  <w:num w:numId="14">
    <w:abstractNumId w:val="19"/>
  </w:num>
  <w:num w:numId="15">
    <w:abstractNumId w:val="2"/>
  </w:num>
  <w:num w:numId="16">
    <w:abstractNumId w:val="7"/>
  </w:num>
  <w:num w:numId="17">
    <w:abstractNumId w:val="14"/>
  </w:num>
  <w:num w:numId="18">
    <w:abstractNumId w:val="8"/>
  </w:num>
  <w:num w:numId="19">
    <w:abstractNumId w:val="13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5C"/>
    <w:rsid w:val="00016E09"/>
    <w:rsid w:val="00020EB2"/>
    <w:rsid w:val="00021BD7"/>
    <w:rsid w:val="00023C8A"/>
    <w:rsid w:val="00026CAE"/>
    <w:rsid w:val="00030177"/>
    <w:rsid w:val="00032603"/>
    <w:rsid w:val="000337B0"/>
    <w:rsid w:val="000377D7"/>
    <w:rsid w:val="000436F3"/>
    <w:rsid w:val="000539E4"/>
    <w:rsid w:val="00055CF3"/>
    <w:rsid w:val="000676F8"/>
    <w:rsid w:val="00070A10"/>
    <w:rsid w:val="00071FD2"/>
    <w:rsid w:val="0007337F"/>
    <w:rsid w:val="00073BEE"/>
    <w:rsid w:val="00082EC4"/>
    <w:rsid w:val="00083FBE"/>
    <w:rsid w:val="00084231"/>
    <w:rsid w:val="000858FF"/>
    <w:rsid w:val="00092014"/>
    <w:rsid w:val="000967DC"/>
    <w:rsid w:val="000B3FD4"/>
    <w:rsid w:val="000C17AD"/>
    <w:rsid w:val="000C6462"/>
    <w:rsid w:val="000F3C4D"/>
    <w:rsid w:val="000F518D"/>
    <w:rsid w:val="001040F2"/>
    <w:rsid w:val="00104B0B"/>
    <w:rsid w:val="00106D3A"/>
    <w:rsid w:val="00115390"/>
    <w:rsid w:val="00125D08"/>
    <w:rsid w:val="00131904"/>
    <w:rsid w:val="00131E99"/>
    <w:rsid w:val="0013425A"/>
    <w:rsid w:val="00140CA4"/>
    <w:rsid w:val="001433CD"/>
    <w:rsid w:val="00151DC5"/>
    <w:rsid w:val="001569F6"/>
    <w:rsid w:val="001626D5"/>
    <w:rsid w:val="0016572A"/>
    <w:rsid w:val="0017082C"/>
    <w:rsid w:val="001719FC"/>
    <w:rsid w:val="00171BA0"/>
    <w:rsid w:val="00174190"/>
    <w:rsid w:val="00174681"/>
    <w:rsid w:val="001829AE"/>
    <w:rsid w:val="00184C76"/>
    <w:rsid w:val="00187C44"/>
    <w:rsid w:val="001A1BB3"/>
    <w:rsid w:val="001A22DB"/>
    <w:rsid w:val="001A5AC0"/>
    <w:rsid w:val="001B6CBA"/>
    <w:rsid w:val="001C0ED2"/>
    <w:rsid w:val="001C3077"/>
    <w:rsid w:val="001C4635"/>
    <w:rsid w:val="001C7B95"/>
    <w:rsid w:val="001D1A46"/>
    <w:rsid w:val="001D1CC5"/>
    <w:rsid w:val="001D2F80"/>
    <w:rsid w:val="001E20A3"/>
    <w:rsid w:val="001E270C"/>
    <w:rsid w:val="001E5587"/>
    <w:rsid w:val="001E6B9C"/>
    <w:rsid w:val="001F170D"/>
    <w:rsid w:val="001F74E2"/>
    <w:rsid w:val="0020401C"/>
    <w:rsid w:val="002045DC"/>
    <w:rsid w:val="00206E45"/>
    <w:rsid w:val="00207518"/>
    <w:rsid w:val="002114A7"/>
    <w:rsid w:val="00213D92"/>
    <w:rsid w:val="00213FDB"/>
    <w:rsid w:val="00217CC5"/>
    <w:rsid w:val="00220A52"/>
    <w:rsid w:val="00226B9C"/>
    <w:rsid w:val="002277AC"/>
    <w:rsid w:val="00234FCA"/>
    <w:rsid w:val="0024315E"/>
    <w:rsid w:val="00252A9A"/>
    <w:rsid w:val="00252EC8"/>
    <w:rsid w:val="00253AD6"/>
    <w:rsid w:val="00262E65"/>
    <w:rsid w:val="00265DC1"/>
    <w:rsid w:val="00270F1D"/>
    <w:rsid w:val="00276E2A"/>
    <w:rsid w:val="002843FF"/>
    <w:rsid w:val="00284C17"/>
    <w:rsid w:val="002856CC"/>
    <w:rsid w:val="00285BD5"/>
    <w:rsid w:val="002A3C42"/>
    <w:rsid w:val="002A5EE0"/>
    <w:rsid w:val="002A5F60"/>
    <w:rsid w:val="002C12C1"/>
    <w:rsid w:val="002C191D"/>
    <w:rsid w:val="002C5C92"/>
    <w:rsid w:val="002C6231"/>
    <w:rsid w:val="002C7D24"/>
    <w:rsid w:val="002D4653"/>
    <w:rsid w:val="002E0CC6"/>
    <w:rsid w:val="002E74F9"/>
    <w:rsid w:val="002E7723"/>
    <w:rsid w:val="002F28BB"/>
    <w:rsid w:val="002F7DFC"/>
    <w:rsid w:val="00305D01"/>
    <w:rsid w:val="003076FB"/>
    <w:rsid w:val="00312F31"/>
    <w:rsid w:val="00314781"/>
    <w:rsid w:val="0031774D"/>
    <w:rsid w:val="00322FE9"/>
    <w:rsid w:val="003231F8"/>
    <w:rsid w:val="003275E5"/>
    <w:rsid w:val="00330D6D"/>
    <w:rsid w:val="00335A33"/>
    <w:rsid w:val="00345C65"/>
    <w:rsid w:val="0036126E"/>
    <w:rsid w:val="00374591"/>
    <w:rsid w:val="00375209"/>
    <w:rsid w:val="00377BC4"/>
    <w:rsid w:val="00381C88"/>
    <w:rsid w:val="003836D1"/>
    <w:rsid w:val="00384051"/>
    <w:rsid w:val="00387622"/>
    <w:rsid w:val="00392D54"/>
    <w:rsid w:val="003961F0"/>
    <w:rsid w:val="00397D92"/>
    <w:rsid w:val="003A3CDB"/>
    <w:rsid w:val="003A54F1"/>
    <w:rsid w:val="003A7F3A"/>
    <w:rsid w:val="003B345D"/>
    <w:rsid w:val="003B6EAB"/>
    <w:rsid w:val="003B7FD9"/>
    <w:rsid w:val="003D3A9E"/>
    <w:rsid w:val="003E1A0D"/>
    <w:rsid w:val="003E241C"/>
    <w:rsid w:val="003E460F"/>
    <w:rsid w:val="003E57FF"/>
    <w:rsid w:val="003F6A0A"/>
    <w:rsid w:val="003F70CC"/>
    <w:rsid w:val="004045E7"/>
    <w:rsid w:val="00405223"/>
    <w:rsid w:val="004117F5"/>
    <w:rsid w:val="00414C9A"/>
    <w:rsid w:val="00416CD0"/>
    <w:rsid w:val="00430EC3"/>
    <w:rsid w:val="00437BB0"/>
    <w:rsid w:val="00447DF2"/>
    <w:rsid w:val="0046018B"/>
    <w:rsid w:val="00465AA4"/>
    <w:rsid w:val="00465B34"/>
    <w:rsid w:val="00485AC6"/>
    <w:rsid w:val="00493FC1"/>
    <w:rsid w:val="00494F15"/>
    <w:rsid w:val="004979C4"/>
    <w:rsid w:val="004A0BD8"/>
    <w:rsid w:val="004B5A15"/>
    <w:rsid w:val="004E1D1E"/>
    <w:rsid w:val="004E3CAB"/>
    <w:rsid w:val="004F4F06"/>
    <w:rsid w:val="004F530A"/>
    <w:rsid w:val="005048FB"/>
    <w:rsid w:val="00505622"/>
    <w:rsid w:val="005120ED"/>
    <w:rsid w:val="00514F0B"/>
    <w:rsid w:val="00515190"/>
    <w:rsid w:val="00522E21"/>
    <w:rsid w:val="00532637"/>
    <w:rsid w:val="00544F84"/>
    <w:rsid w:val="00555EBB"/>
    <w:rsid w:val="00560C11"/>
    <w:rsid w:val="00562F34"/>
    <w:rsid w:val="00563FE3"/>
    <w:rsid w:val="005643D0"/>
    <w:rsid w:val="00573F11"/>
    <w:rsid w:val="00583541"/>
    <w:rsid w:val="00586456"/>
    <w:rsid w:val="005A1A30"/>
    <w:rsid w:val="005B1DAF"/>
    <w:rsid w:val="005B7D3F"/>
    <w:rsid w:val="005C7E30"/>
    <w:rsid w:val="005E0E33"/>
    <w:rsid w:val="005E0F4F"/>
    <w:rsid w:val="005E467E"/>
    <w:rsid w:val="005F5943"/>
    <w:rsid w:val="00601444"/>
    <w:rsid w:val="00603232"/>
    <w:rsid w:val="00606B4C"/>
    <w:rsid w:val="006172E5"/>
    <w:rsid w:val="006202F4"/>
    <w:rsid w:val="00620923"/>
    <w:rsid w:val="006326C6"/>
    <w:rsid w:val="006339B9"/>
    <w:rsid w:val="0063723B"/>
    <w:rsid w:val="00653207"/>
    <w:rsid w:val="006555E2"/>
    <w:rsid w:val="00661D99"/>
    <w:rsid w:val="006629B4"/>
    <w:rsid w:val="00663C22"/>
    <w:rsid w:val="00665069"/>
    <w:rsid w:val="00665DB7"/>
    <w:rsid w:val="0067056D"/>
    <w:rsid w:val="00671CF7"/>
    <w:rsid w:val="006730C0"/>
    <w:rsid w:val="006731CC"/>
    <w:rsid w:val="00674A48"/>
    <w:rsid w:val="00676C90"/>
    <w:rsid w:val="00681819"/>
    <w:rsid w:val="00681B21"/>
    <w:rsid w:val="0068257E"/>
    <w:rsid w:val="006847FE"/>
    <w:rsid w:val="0068662D"/>
    <w:rsid w:val="00690218"/>
    <w:rsid w:val="00691954"/>
    <w:rsid w:val="00696131"/>
    <w:rsid w:val="006A6C24"/>
    <w:rsid w:val="006A6FB9"/>
    <w:rsid w:val="006B1BC0"/>
    <w:rsid w:val="006B2564"/>
    <w:rsid w:val="006B54BF"/>
    <w:rsid w:val="006B612F"/>
    <w:rsid w:val="006C0D28"/>
    <w:rsid w:val="006C0DFD"/>
    <w:rsid w:val="006C11FB"/>
    <w:rsid w:val="006D458F"/>
    <w:rsid w:val="006D4F54"/>
    <w:rsid w:val="006D4FD2"/>
    <w:rsid w:val="006E499C"/>
    <w:rsid w:val="006E6025"/>
    <w:rsid w:val="006E6913"/>
    <w:rsid w:val="006F20E6"/>
    <w:rsid w:val="006F22C2"/>
    <w:rsid w:val="006F3E85"/>
    <w:rsid w:val="006F728D"/>
    <w:rsid w:val="006F7D83"/>
    <w:rsid w:val="0070558B"/>
    <w:rsid w:val="00707054"/>
    <w:rsid w:val="00710D87"/>
    <w:rsid w:val="00731C3D"/>
    <w:rsid w:val="00732DB7"/>
    <w:rsid w:val="007425DC"/>
    <w:rsid w:val="00767144"/>
    <w:rsid w:val="00773868"/>
    <w:rsid w:val="00775002"/>
    <w:rsid w:val="00775973"/>
    <w:rsid w:val="007827C5"/>
    <w:rsid w:val="007837AD"/>
    <w:rsid w:val="0079202E"/>
    <w:rsid w:val="007A17E3"/>
    <w:rsid w:val="007A42B0"/>
    <w:rsid w:val="007A6208"/>
    <w:rsid w:val="007B21EB"/>
    <w:rsid w:val="007B4354"/>
    <w:rsid w:val="007B52F7"/>
    <w:rsid w:val="007B6CBE"/>
    <w:rsid w:val="007C55AB"/>
    <w:rsid w:val="007D21BE"/>
    <w:rsid w:val="007D65C9"/>
    <w:rsid w:val="007D6E98"/>
    <w:rsid w:val="007D76AB"/>
    <w:rsid w:val="007E4A1F"/>
    <w:rsid w:val="007E5D8C"/>
    <w:rsid w:val="007E7AD6"/>
    <w:rsid w:val="007F1072"/>
    <w:rsid w:val="007F190B"/>
    <w:rsid w:val="007F62CC"/>
    <w:rsid w:val="007F70BD"/>
    <w:rsid w:val="00802A00"/>
    <w:rsid w:val="00802AA2"/>
    <w:rsid w:val="008158D4"/>
    <w:rsid w:val="0081721D"/>
    <w:rsid w:val="0082796F"/>
    <w:rsid w:val="00830A9E"/>
    <w:rsid w:val="00833B25"/>
    <w:rsid w:val="008359D3"/>
    <w:rsid w:val="00843029"/>
    <w:rsid w:val="008443C7"/>
    <w:rsid w:val="00852ED7"/>
    <w:rsid w:val="008545DE"/>
    <w:rsid w:val="00856D72"/>
    <w:rsid w:val="008602BE"/>
    <w:rsid w:val="00866CF1"/>
    <w:rsid w:val="00872D5A"/>
    <w:rsid w:val="00875148"/>
    <w:rsid w:val="008812D0"/>
    <w:rsid w:val="008839EA"/>
    <w:rsid w:val="00884D64"/>
    <w:rsid w:val="008854EF"/>
    <w:rsid w:val="00892D6F"/>
    <w:rsid w:val="00892FDF"/>
    <w:rsid w:val="00893673"/>
    <w:rsid w:val="008A090F"/>
    <w:rsid w:val="008B05EC"/>
    <w:rsid w:val="008B38D2"/>
    <w:rsid w:val="008B7995"/>
    <w:rsid w:val="008C2887"/>
    <w:rsid w:val="008C4587"/>
    <w:rsid w:val="008C66EB"/>
    <w:rsid w:val="008C67D7"/>
    <w:rsid w:val="008C77BB"/>
    <w:rsid w:val="008D093F"/>
    <w:rsid w:val="008D478F"/>
    <w:rsid w:val="008D6BA0"/>
    <w:rsid w:val="008E0312"/>
    <w:rsid w:val="008E1CBF"/>
    <w:rsid w:val="008E3029"/>
    <w:rsid w:val="008E35B4"/>
    <w:rsid w:val="008E72FC"/>
    <w:rsid w:val="008F3CEE"/>
    <w:rsid w:val="008F69AF"/>
    <w:rsid w:val="00907E5A"/>
    <w:rsid w:val="00914951"/>
    <w:rsid w:val="00915EA2"/>
    <w:rsid w:val="00915EF9"/>
    <w:rsid w:val="00916C8A"/>
    <w:rsid w:val="00922CD8"/>
    <w:rsid w:val="009237B8"/>
    <w:rsid w:val="00925686"/>
    <w:rsid w:val="0093590F"/>
    <w:rsid w:val="00942C8F"/>
    <w:rsid w:val="00947A68"/>
    <w:rsid w:val="00953F10"/>
    <w:rsid w:val="00957F69"/>
    <w:rsid w:val="00970A6F"/>
    <w:rsid w:val="0098109E"/>
    <w:rsid w:val="0098300E"/>
    <w:rsid w:val="00983DD3"/>
    <w:rsid w:val="00984AA7"/>
    <w:rsid w:val="00985E2A"/>
    <w:rsid w:val="00991C6C"/>
    <w:rsid w:val="009A0EE4"/>
    <w:rsid w:val="009B1804"/>
    <w:rsid w:val="009B1924"/>
    <w:rsid w:val="009C1E56"/>
    <w:rsid w:val="009D6905"/>
    <w:rsid w:val="009D6F49"/>
    <w:rsid w:val="009E19BC"/>
    <w:rsid w:val="009E419B"/>
    <w:rsid w:val="009E56D7"/>
    <w:rsid w:val="009F219B"/>
    <w:rsid w:val="009F7388"/>
    <w:rsid w:val="009F75D2"/>
    <w:rsid w:val="00A05C65"/>
    <w:rsid w:val="00A1440F"/>
    <w:rsid w:val="00A21168"/>
    <w:rsid w:val="00A232A0"/>
    <w:rsid w:val="00A307D1"/>
    <w:rsid w:val="00A352E1"/>
    <w:rsid w:val="00A46152"/>
    <w:rsid w:val="00A50C9B"/>
    <w:rsid w:val="00A54914"/>
    <w:rsid w:val="00A61173"/>
    <w:rsid w:val="00A639A9"/>
    <w:rsid w:val="00A772F3"/>
    <w:rsid w:val="00A81CA0"/>
    <w:rsid w:val="00A8409E"/>
    <w:rsid w:val="00A875B8"/>
    <w:rsid w:val="00A8783F"/>
    <w:rsid w:val="00A930AC"/>
    <w:rsid w:val="00A948DD"/>
    <w:rsid w:val="00A96B1D"/>
    <w:rsid w:val="00AA17D4"/>
    <w:rsid w:val="00AA2062"/>
    <w:rsid w:val="00AA5CA4"/>
    <w:rsid w:val="00AB35DC"/>
    <w:rsid w:val="00AC2D79"/>
    <w:rsid w:val="00AC6A0A"/>
    <w:rsid w:val="00AC7FB0"/>
    <w:rsid w:val="00AD1623"/>
    <w:rsid w:val="00AD28CF"/>
    <w:rsid w:val="00AE111D"/>
    <w:rsid w:val="00AF2D43"/>
    <w:rsid w:val="00AF3681"/>
    <w:rsid w:val="00B132C2"/>
    <w:rsid w:val="00B22A03"/>
    <w:rsid w:val="00B32009"/>
    <w:rsid w:val="00B42683"/>
    <w:rsid w:val="00B461A4"/>
    <w:rsid w:val="00B531C6"/>
    <w:rsid w:val="00B53EA9"/>
    <w:rsid w:val="00B65AC0"/>
    <w:rsid w:val="00B67E78"/>
    <w:rsid w:val="00B72C5A"/>
    <w:rsid w:val="00B735F4"/>
    <w:rsid w:val="00B81E1E"/>
    <w:rsid w:val="00B82EDF"/>
    <w:rsid w:val="00B866BF"/>
    <w:rsid w:val="00B929C6"/>
    <w:rsid w:val="00B929EA"/>
    <w:rsid w:val="00BA01D4"/>
    <w:rsid w:val="00BB4481"/>
    <w:rsid w:val="00BC1283"/>
    <w:rsid w:val="00BC489B"/>
    <w:rsid w:val="00BC59F9"/>
    <w:rsid w:val="00BD7DE7"/>
    <w:rsid w:val="00BE4363"/>
    <w:rsid w:val="00BF3990"/>
    <w:rsid w:val="00BF5284"/>
    <w:rsid w:val="00C02095"/>
    <w:rsid w:val="00C1301C"/>
    <w:rsid w:val="00C14EF4"/>
    <w:rsid w:val="00C21257"/>
    <w:rsid w:val="00C30BBD"/>
    <w:rsid w:val="00C33596"/>
    <w:rsid w:val="00C44A7D"/>
    <w:rsid w:val="00C462A3"/>
    <w:rsid w:val="00C466B1"/>
    <w:rsid w:val="00C479FF"/>
    <w:rsid w:val="00C47AA9"/>
    <w:rsid w:val="00C51214"/>
    <w:rsid w:val="00C530F8"/>
    <w:rsid w:val="00C74102"/>
    <w:rsid w:val="00C74122"/>
    <w:rsid w:val="00C8088C"/>
    <w:rsid w:val="00C818A7"/>
    <w:rsid w:val="00C90BD9"/>
    <w:rsid w:val="00C9373F"/>
    <w:rsid w:val="00CA0874"/>
    <w:rsid w:val="00CA41AC"/>
    <w:rsid w:val="00CA45C3"/>
    <w:rsid w:val="00CD59EE"/>
    <w:rsid w:val="00CD7442"/>
    <w:rsid w:val="00CE3C00"/>
    <w:rsid w:val="00CF3F57"/>
    <w:rsid w:val="00CF74A3"/>
    <w:rsid w:val="00D11CCD"/>
    <w:rsid w:val="00D148D2"/>
    <w:rsid w:val="00D16405"/>
    <w:rsid w:val="00D27576"/>
    <w:rsid w:val="00D30625"/>
    <w:rsid w:val="00D42BC4"/>
    <w:rsid w:val="00D47AEA"/>
    <w:rsid w:val="00D51B0E"/>
    <w:rsid w:val="00D61E2C"/>
    <w:rsid w:val="00D627D1"/>
    <w:rsid w:val="00D705EC"/>
    <w:rsid w:val="00D7339F"/>
    <w:rsid w:val="00D924E7"/>
    <w:rsid w:val="00D95554"/>
    <w:rsid w:val="00D956ED"/>
    <w:rsid w:val="00DA3005"/>
    <w:rsid w:val="00DA60EB"/>
    <w:rsid w:val="00DB55FE"/>
    <w:rsid w:val="00DC1068"/>
    <w:rsid w:val="00DC2FD2"/>
    <w:rsid w:val="00DD18B8"/>
    <w:rsid w:val="00DD77EE"/>
    <w:rsid w:val="00DF2B1E"/>
    <w:rsid w:val="00DF7C06"/>
    <w:rsid w:val="00E01602"/>
    <w:rsid w:val="00E11B21"/>
    <w:rsid w:val="00E12E50"/>
    <w:rsid w:val="00E1774E"/>
    <w:rsid w:val="00E22D84"/>
    <w:rsid w:val="00E24AD5"/>
    <w:rsid w:val="00E3078D"/>
    <w:rsid w:val="00E34FC5"/>
    <w:rsid w:val="00E63626"/>
    <w:rsid w:val="00E7139D"/>
    <w:rsid w:val="00E71B24"/>
    <w:rsid w:val="00E76A49"/>
    <w:rsid w:val="00E80218"/>
    <w:rsid w:val="00E80A45"/>
    <w:rsid w:val="00E817A8"/>
    <w:rsid w:val="00E82582"/>
    <w:rsid w:val="00E94E0C"/>
    <w:rsid w:val="00E966EB"/>
    <w:rsid w:val="00EA311A"/>
    <w:rsid w:val="00EA4B30"/>
    <w:rsid w:val="00EB5B24"/>
    <w:rsid w:val="00EB6360"/>
    <w:rsid w:val="00EB6555"/>
    <w:rsid w:val="00EC0377"/>
    <w:rsid w:val="00EC215F"/>
    <w:rsid w:val="00ED03D1"/>
    <w:rsid w:val="00ED08CB"/>
    <w:rsid w:val="00ED0FE0"/>
    <w:rsid w:val="00ED0FFE"/>
    <w:rsid w:val="00ED351D"/>
    <w:rsid w:val="00ED440C"/>
    <w:rsid w:val="00EE22D7"/>
    <w:rsid w:val="00EE5FBC"/>
    <w:rsid w:val="00EF181D"/>
    <w:rsid w:val="00EF1A59"/>
    <w:rsid w:val="00F00D19"/>
    <w:rsid w:val="00F1247F"/>
    <w:rsid w:val="00F170FE"/>
    <w:rsid w:val="00F204CF"/>
    <w:rsid w:val="00F3551D"/>
    <w:rsid w:val="00F55720"/>
    <w:rsid w:val="00F63EA6"/>
    <w:rsid w:val="00F65085"/>
    <w:rsid w:val="00F70B2D"/>
    <w:rsid w:val="00F71F85"/>
    <w:rsid w:val="00F7327A"/>
    <w:rsid w:val="00F742F5"/>
    <w:rsid w:val="00F94B91"/>
    <w:rsid w:val="00F96055"/>
    <w:rsid w:val="00F96FE4"/>
    <w:rsid w:val="00F977DD"/>
    <w:rsid w:val="00FA1760"/>
    <w:rsid w:val="00FA2203"/>
    <w:rsid w:val="00FA778B"/>
    <w:rsid w:val="00FB189D"/>
    <w:rsid w:val="00FB2711"/>
    <w:rsid w:val="00FB5D5C"/>
    <w:rsid w:val="00FB72DC"/>
    <w:rsid w:val="00FE3110"/>
    <w:rsid w:val="00FF0D5A"/>
    <w:rsid w:val="00FF1E5E"/>
    <w:rsid w:val="00FF65FD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napToGrid w:val="0"/>
      <w:color w:val="00000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napToGrid w:val="0"/>
      <w:color w:val="00000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rFonts w:ascii="Arial" w:hAnsi="Arial"/>
      <w:b/>
      <w:snapToGrid w:val="0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kladntext2">
    <w:name w:val="Body Text 2"/>
    <w:basedOn w:val="Normln"/>
    <w:rPr>
      <w:sz w:val="24"/>
    </w:rPr>
  </w:style>
  <w:style w:type="paragraph" w:customStyle="1" w:styleId="Odstavec">
    <w:name w:val="Odstavec"/>
    <w:basedOn w:val="Normln"/>
    <w:pPr>
      <w:suppressAutoHyphens/>
      <w:spacing w:after="115" w:line="276" w:lineRule="auto"/>
      <w:ind w:firstLine="480"/>
      <w:jc w:val="both"/>
    </w:pPr>
    <w:rPr>
      <w:sz w:val="24"/>
    </w:rPr>
  </w:style>
  <w:style w:type="paragraph" w:styleId="Nzev">
    <w:name w:val="Title"/>
    <w:basedOn w:val="Normln"/>
    <w:qFormat/>
    <w:rsid w:val="004B5A15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B42683"/>
    <w:pPr>
      <w:spacing w:after="120"/>
      <w:ind w:left="283"/>
    </w:pPr>
  </w:style>
  <w:style w:type="paragraph" w:styleId="Rozloendokumentu">
    <w:name w:val="Document Map"/>
    <w:basedOn w:val="Normln"/>
    <w:semiHidden/>
    <w:rsid w:val="00E12E50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E12E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12E5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9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72C5A"/>
    <w:rPr>
      <w:color w:val="0000FF"/>
      <w:u w:val="single"/>
    </w:rPr>
  </w:style>
  <w:style w:type="paragraph" w:customStyle="1" w:styleId="Normln1">
    <w:name w:val="Normální1"/>
    <w:rsid w:val="00384051"/>
    <w:pPr>
      <w:widowControl w:val="0"/>
    </w:pPr>
    <w:rPr>
      <w:snapToGrid w:val="0"/>
      <w:sz w:val="24"/>
    </w:rPr>
  </w:style>
  <w:style w:type="paragraph" w:styleId="Textbubliny">
    <w:name w:val="Balloon Text"/>
    <w:basedOn w:val="Normln"/>
    <w:link w:val="TextbublinyChar"/>
    <w:rsid w:val="009F21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21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6B1BC0"/>
  </w:style>
  <w:style w:type="paragraph" w:customStyle="1" w:styleId="Normln2">
    <w:name w:val="Normální2"/>
    <w:rsid w:val="00B53EA9"/>
    <w:pPr>
      <w:widowControl w:val="0"/>
    </w:pPr>
    <w:rPr>
      <w:snapToGrid w:val="0"/>
      <w:sz w:val="24"/>
    </w:rPr>
  </w:style>
  <w:style w:type="paragraph" w:customStyle="1" w:styleId="Normln3">
    <w:name w:val="Normální3"/>
    <w:rsid w:val="009237B8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7B5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napToGrid w:val="0"/>
      <w:color w:val="00000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napToGrid w:val="0"/>
      <w:color w:val="00000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rFonts w:ascii="Arial" w:hAnsi="Arial"/>
      <w:b/>
      <w:snapToGrid w:val="0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kladntext2">
    <w:name w:val="Body Text 2"/>
    <w:basedOn w:val="Normln"/>
    <w:rPr>
      <w:sz w:val="24"/>
    </w:rPr>
  </w:style>
  <w:style w:type="paragraph" w:customStyle="1" w:styleId="Odstavec">
    <w:name w:val="Odstavec"/>
    <w:basedOn w:val="Normln"/>
    <w:pPr>
      <w:suppressAutoHyphens/>
      <w:spacing w:after="115" w:line="276" w:lineRule="auto"/>
      <w:ind w:firstLine="480"/>
      <w:jc w:val="both"/>
    </w:pPr>
    <w:rPr>
      <w:sz w:val="24"/>
    </w:rPr>
  </w:style>
  <w:style w:type="paragraph" w:styleId="Nzev">
    <w:name w:val="Title"/>
    <w:basedOn w:val="Normln"/>
    <w:qFormat/>
    <w:rsid w:val="004B5A15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B42683"/>
    <w:pPr>
      <w:spacing w:after="120"/>
      <w:ind w:left="283"/>
    </w:pPr>
  </w:style>
  <w:style w:type="paragraph" w:styleId="Rozloendokumentu">
    <w:name w:val="Document Map"/>
    <w:basedOn w:val="Normln"/>
    <w:semiHidden/>
    <w:rsid w:val="00E12E50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E12E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12E5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9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72C5A"/>
    <w:rPr>
      <w:color w:val="0000FF"/>
      <w:u w:val="single"/>
    </w:rPr>
  </w:style>
  <w:style w:type="paragraph" w:customStyle="1" w:styleId="Normln1">
    <w:name w:val="Normální1"/>
    <w:rsid w:val="00384051"/>
    <w:pPr>
      <w:widowControl w:val="0"/>
    </w:pPr>
    <w:rPr>
      <w:snapToGrid w:val="0"/>
      <w:sz w:val="24"/>
    </w:rPr>
  </w:style>
  <w:style w:type="paragraph" w:styleId="Textbubliny">
    <w:name w:val="Balloon Text"/>
    <w:basedOn w:val="Normln"/>
    <w:link w:val="TextbublinyChar"/>
    <w:rsid w:val="009F21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21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6B1BC0"/>
  </w:style>
  <w:style w:type="paragraph" w:customStyle="1" w:styleId="Normln2">
    <w:name w:val="Normální2"/>
    <w:rsid w:val="00B53EA9"/>
    <w:pPr>
      <w:widowControl w:val="0"/>
    </w:pPr>
    <w:rPr>
      <w:snapToGrid w:val="0"/>
      <w:sz w:val="24"/>
    </w:rPr>
  </w:style>
  <w:style w:type="paragraph" w:customStyle="1" w:styleId="Normln3">
    <w:name w:val="Normální3"/>
    <w:rsid w:val="009237B8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7B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1A72-AAD9-423D-B4C5-BF531B92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3091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závěrečného účtu Města Jilemnice za rok 2001</vt:lpstr>
    </vt:vector>
  </TitlesOfParts>
  <Company>Jilemnice</Company>
  <LinksUpToDate>false</LinksUpToDate>
  <CharactersWithSpaces>21286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http://monitor.statnipokladna.cz/2014/obce/detail/00275808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závěrečného účtu Města Jilemnice za rok 2001</dc:title>
  <dc:creator>Jilemnice</dc:creator>
  <cp:lastModifiedBy>Město Jilemnice</cp:lastModifiedBy>
  <cp:revision>2</cp:revision>
  <cp:lastPrinted>2018-06-04T14:16:00Z</cp:lastPrinted>
  <dcterms:created xsi:type="dcterms:W3CDTF">2018-07-10T04:40:00Z</dcterms:created>
  <dcterms:modified xsi:type="dcterms:W3CDTF">2018-07-10T04:40:00Z</dcterms:modified>
</cp:coreProperties>
</file>