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F8" w:rsidRPr="004A34F8" w:rsidRDefault="004A34F8" w:rsidP="008455F3">
      <w:pPr>
        <w:pStyle w:val="Zkladntextodsazen"/>
        <w:ind w:firstLine="0"/>
        <w:jc w:val="both"/>
        <w:rPr>
          <w:b/>
          <w:i w:val="0"/>
        </w:rPr>
      </w:pPr>
      <w:r w:rsidRPr="004A34F8">
        <w:rPr>
          <w:b/>
          <w:i w:val="0"/>
        </w:rPr>
        <w:t>Rozpočet města Jilemnice na rok 20</w:t>
      </w:r>
      <w:r w:rsidR="00B76AC7">
        <w:rPr>
          <w:b/>
          <w:i w:val="0"/>
        </w:rPr>
        <w:t>20</w:t>
      </w:r>
    </w:p>
    <w:p w:rsidR="00964660" w:rsidRPr="00DA3E28" w:rsidRDefault="00964660" w:rsidP="00964660">
      <w:pPr>
        <w:pStyle w:val="Zkladntextodsazen"/>
        <w:ind w:firstLine="284"/>
        <w:jc w:val="both"/>
      </w:pPr>
      <w:r w:rsidRPr="004A34F8">
        <w:t xml:space="preserve">Návrh rozpočtu na rok </w:t>
      </w:r>
      <w:r>
        <w:t>2020</w:t>
      </w:r>
      <w:r w:rsidRPr="004A34F8">
        <w:t xml:space="preserve"> vychází z výsledků hospodaření města Jilemnice z minulého roku </w:t>
      </w:r>
      <w:r>
        <w:t>2019</w:t>
      </w:r>
      <w:r w:rsidRPr="004A34F8">
        <w:t xml:space="preserve"> a ze schváleného státního rozpočtu na rok 20</w:t>
      </w:r>
      <w:r>
        <w:t>20</w:t>
      </w:r>
      <w:r w:rsidRPr="004A34F8">
        <w:t>, podle něhož jsou rozpočtovány daňové příjmy a dotace na výkon státní správy. Podrobný rozbor hospodaření města za rok 20</w:t>
      </w:r>
      <w:r>
        <w:t xml:space="preserve">19 </w:t>
      </w:r>
      <w:r w:rsidRPr="004A34F8">
        <w:t>spolu s výsledky hospodaření příspěvkových organizací a obchodních společností založených městem bude součástí schvalování závěrečného účtu roku 201</w:t>
      </w:r>
      <w:r>
        <w:t>9</w:t>
      </w:r>
      <w:r w:rsidRPr="00DA3E28">
        <w:t>.  Za rok 2019 byl vyhodnocen přebytek hospodaření ve výši 31.807 tis. Kč, který je celý zapojen do rozpočtu roku 2020. Podrobné členění přehledu hospodaření za rok 2019 a návrhu rozpočtu na rok 2020 spolu s dalšími doplňujícími informacemi je v příloze.</w:t>
      </w:r>
    </w:p>
    <w:p w:rsidR="00964660" w:rsidRPr="00105FD2" w:rsidRDefault="00964660" w:rsidP="00964660">
      <w:pPr>
        <w:ind w:firstLine="284"/>
        <w:jc w:val="both"/>
        <w:rPr>
          <w:b/>
          <w:i/>
          <w:sz w:val="20"/>
          <w:szCs w:val="20"/>
        </w:rPr>
      </w:pPr>
      <w:r w:rsidRPr="00105FD2">
        <w:rPr>
          <w:b/>
          <w:i/>
          <w:sz w:val="20"/>
          <w:szCs w:val="20"/>
        </w:rPr>
        <w:t>K rozpočtu běžných příjmů 2020</w:t>
      </w:r>
      <w:r w:rsidRPr="00105FD2">
        <w:rPr>
          <w:i/>
          <w:sz w:val="20"/>
          <w:szCs w:val="20"/>
        </w:rPr>
        <w:t>: Příjem ze sdílených daní, který je počítán podle počtu obyvatel s trvalým pobytem v Jilemnici (5391 občanů) a daně z nemovitých věcí je plánován ve výši 8</w:t>
      </w:r>
      <w:r>
        <w:rPr>
          <w:i/>
          <w:sz w:val="20"/>
          <w:szCs w:val="20"/>
        </w:rPr>
        <w:t>4</w:t>
      </w:r>
      <w:r w:rsidRPr="00105FD2">
        <w:rPr>
          <w:i/>
          <w:sz w:val="20"/>
          <w:szCs w:val="20"/>
        </w:rPr>
        <w:t xml:space="preserve">.200 tis. Kč, což je 105,1%  rozpočtu roku 2019. Bohužel meziročně dochází k opětovnému úbytku obyvatel Jilemnice, pokles žáků se zastavil, ale nedosahuje úrovně roku 2018, proto je nutné opět rozpočtovat daňové příjmy opatrně.  Správní poplatky jsou rozpočtovány v částce </w:t>
      </w:r>
      <w:r>
        <w:rPr>
          <w:i/>
          <w:sz w:val="20"/>
          <w:szCs w:val="20"/>
        </w:rPr>
        <w:t>4.835 tis. Kč (101</w:t>
      </w:r>
      <w:r w:rsidRPr="00105FD2">
        <w:rPr>
          <w:i/>
          <w:sz w:val="20"/>
          <w:szCs w:val="20"/>
        </w:rPr>
        <w:t>% rozpočtu 201</w:t>
      </w:r>
      <w:r>
        <w:rPr>
          <w:i/>
          <w:sz w:val="20"/>
          <w:szCs w:val="20"/>
        </w:rPr>
        <w:t>9</w:t>
      </w:r>
      <w:r w:rsidRPr="00105FD2">
        <w:rPr>
          <w:i/>
          <w:sz w:val="20"/>
          <w:szCs w:val="20"/>
        </w:rPr>
        <w:t>), místní poplatky v  částce 3.</w:t>
      </w:r>
      <w:r>
        <w:rPr>
          <w:i/>
          <w:sz w:val="20"/>
          <w:szCs w:val="20"/>
        </w:rPr>
        <w:t>360</w:t>
      </w:r>
      <w:r w:rsidRPr="00105FD2">
        <w:rPr>
          <w:i/>
          <w:sz w:val="20"/>
          <w:szCs w:val="20"/>
        </w:rPr>
        <w:t xml:space="preserve"> tis. Kč (100% rozpočtu 20</w:t>
      </w:r>
      <w:r>
        <w:rPr>
          <w:i/>
          <w:sz w:val="20"/>
          <w:szCs w:val="20"/>
        </w:rPr>
        <w:t>19</w:t>
      </w:r>
      <w:r w:rsidRPr="00105FD2">
        <w:rPr>
          <w:i/>
          <w:sz w:val="20"/>
          <w:szCs w:val="20"/>
        </w:rPr>
        <w:t xml:space="preserve">). </w:t>
      </w:r>
      <w:r>
        <w:rPr>
          <w:i/>
          <w:sz w:val="20"/>
          <w:szCs w:val="20"/>
        </w:rPr>
        <w:t>D</w:t>
      </w:r>
      <w:r w:rsidRPr="00105FD2">
        <w:rPr>
          <w:i/>
          <w:sz w:val="20"/>
          <w:szCs w:val="20"/>
        </w:rPr>
        <w:t xml:space="preserve">aň z hazardních her </w:t>
      </w:r>
      <w:r>
        <w:rPr>
          <w:i/>
          <w:sz w:val="20"/>
          <w:szCs w:val="20"/>
        </w:rPr>
        <w:t>rozpočtujeme vyšší oproti roku 2019 a to na částku 3.900</w:t>
      </w:r>
      <w:r w:rsidRPr="00105FD2">
        <w:rPr>
          <w:i/>
          <w:sz w:val="20"/>
          <w:szCs w:val="20"/>
        </w:rPr>
        <w:t xml:space="preserve"> tis. Kč, </w:t>
      </w:r>
      <w:r>
        <w:rPr>
          <w:i/>
          <w:sz w:val="20"/>
          <w:szCs w:val="20"/>
        </w:rPr>
        <w:t xml:space="preserve">neboť je opětovně rozšířen počet heren. </w:t>
      </w:r>
      <w:r w:rsidRPr="00105FD2">
        <w:rPr>
          <w:i/>
          <w:sz w:val="20"/>
          <w:szCs w:val="20"/>
        </w:rPr>
        <w:t xml:space="preserve">Ostatní běžné příjmy jsou rozpočtovány dle uzavřených smluv, či skutečnosti minulého roku, celkem v částce </w:t>
      </w:r>
      <w:r>
        <w:rPr>
          <w:i/>
          <w:sz w:val="20"/>
          <w:szCs w:val="20"/>
        </w:rPr>
        <w:t>26.505</w:t>
      </w:r>
      <w:r w:rsidRPr="00105FD2">
        <w:rPr>
          <w:i/>
          <w:sz w:val="20"/>
          <w:szCs w:val="20"/>
        </w:rPr>
        <w:t xml:space="preserve"> tis. Kč (</w:t>
      </w:r>
      <w:r>
        <w:rPr>
          <w:i/>
          <w:sz w:val="20"/>
          <w:szCs w:val="20"/>
        </w:rPr>
        <w:t>96,8</w:t>
      </w:r>
      <w:r w:rsidRPr="00105FD2">
        <w:rPr>
          <w:i/>
          <w:sz w:val="20"/>
          <w:szCs w:val="20"/>
        </w:rPr>
        <w:t xml:space="preserve"> rozpočtu 201</w:t>
      </w:r>
      <w:r>
        <w:rPr>
          <w:i/>
          <w:sz w:val="20"/>
          <w:szCs w:val="20"/>
        </w:rPr>
        <w:t>9</w:t>
      </w:r>
      <w:r w:rsidRPr="00105FD2">
        <w:rPr>
          <w:i/>
          <w:sz w:val="20"/>
          <w:szCs w:val="20"/>
        </w:rPr>
        <w:t>).</w:t>
      </w:r>
      <w:r w:rsidRPr="00105FD2">
        <w:rPr>
          <w:b/>
          <w:i/>
          <w:sz w:val="20"/>
          <w:szCs w:val="20"/>
        </w:rPr>
        <w:t xml:space="preserve"> </w:t>
      </w:r>
    </w:p>
    <w:p w:rsidR="00964660" w:rsidRPr="00234737" w:rsidRDefault="00964660" w:rsidP="00964660">
      <w:pPr>
        <w:ind w:firstLine="284"/>
        <w:jc w:val="both"/>
        <w:rPr>
          <w:i/>
          <w:sz w:val="20"/>
          <w:szCs w:val="20"/>
        </w:rPr>
      </w:pPr>
      <w:r w:rsidRPr="00234737">
        <w:rPr>
          <w:b/>
          <w:i/>
          <w:sz w:val="20"/>
          <w:szCs w:val="20"/>
        </w:rPr>
        <w:t>K rozpočtu kapitálových příjmů 2020</w:t>
      </w:r>
      <w:r w:rsidRPr="00234737">
        <w:rPr>
          <w:i/>
          <w:sz w:val="20"/>
          <w:szCs w:val="20"/>
        </w:rPr>
        <w:t>: Kapitálové příjmy jsou rozpočtovány v částce 7.115 tis. Kč. Zde je nadále počítáno s privatizací bytů,</w:t>
      </w:r>
      <w:r>
        <w:rPr>
          <w:i/>
          <w:sz w:val="20"/>
          <w:szCs w:val="20"/>
        </w:rPr>
        <w:t xml:space="preserve"> </w:t>
      </w:r>
      <w:r w:rsidRPr="00234737">
        <w:rPr>
          <w:i/>
          <w:sz w:val="20"/>
          <w:szCs w:val="20"/>
        </w:rPr>
        <w:t xml:space="preserve">s doplatkem dvou pozemků v lokalitě Nouzov, se splátkami budoucích kupních cen bytů u akce „32bj. Roztocká“ a 50 tis. Kč z drobných prodejů pozemků.  </w:t>
      </w:r>
    </w:p>
    <w:p w:rsidR="00964660" w:rsidRPr="00234737" w:rsidRDefault="00964660" w:rsidP="00964660">
      <w:pPr>
        <w:ind w:firstLine="284"/>
        <w:jc w:val="both"/>
        <w:rPr>
          <w:i/>
          <w:sz w:val="20"/>
          <w:szCs w:val="20"/>
        </w:rPr>
      </w:pPr>
      <w:r w:rsidRPr="00234737">
        <w:rPr>
          <w:b/>
          <w:i/>
          <w:sz w:val="20"/>
          <w:szCs w:val="20"/>
        </w:rPr>
        <w:t>K rozpočtu dotací 2020:</w:t>
      </w:r>
      <w:r w:rsidRPr="00234737">
        <w:rPr>
          <w:i/>
          <w:sz w:val="20"/>
          <w:szCs w:val="20"/>
        </w:rPr>
        <w:t xml:space="preserve">  Běžné rozpočtované dotace jsou v částce 35.444 tis. Kč (126% rozpočtu r.</w:t>
      </w:r>
      <w:r>
        <w:rPr>
          <w:i/>
          <w:sz w:val="20"/>
          <w:szCs w:val="20"/>
        </w:rPr>
        <w:t xml:space="preserve"> </w:t>
      </w:r>
      <w:r w:rsidRPr="00234737">
        <w:rPr>
          <w:i/>
          <w:sz w:val="20"/>
          <w:szCs w:val="20"/>
        </w:rPr>
        <w:t xml:space="preserve">2019), z toho dotace na výkon státní správy činí 27.168 tis. Kč včetně účelové dotace na sociálně právní ochranu dětí a sociální práci pro sociální odbor. </w:t>
      </w:r>
      <w:r>
        <w:rPr>
          <w:i/>
          <w:sz w:val="20"/>
          <w:szCs w:val="20"/>
        </w:rPr>
        <w:t xml:space="preserve">Tyto dotace jsou o 14% vyšší </w:t>
      </w:r>
      <w:r w:rsidRPr="00234737">
        <w:rPr>
          <w:i/>
          <w:sz w:val="20"/>
          <w:szCs w:val="20"/>
        </w:rPr>
        <w:t xml:space="preserve">než v roce 2019. Nově je zařazena dotace na projekt „MAS Sociální práce v Jilemnici“.  Pokračují dotace pro pečovatelskou službu (3.480 tis. Kč) a dotace na památky od MKČR (800 tis. Kč). </w:t>
      </w:r>
      <w:r>
        <w:rPr>
          <w:i/>
          <w:sz w:val="20"/>
          <w:szCs w:val="20"/>
        </w:rPr>
        <w:t>Nově jsou zařazeny příjmy z veřejnoprávních smluv pro rozšíření pečovatelské služby do ORP  a pro financování sociálních služeb v ORP , kdy město Jilemnice bude vyhlašovatelem nového grantového programu. Kapitálová dotace je rozpočtována na projekt „Rekonstrukce čp. 64 pro rozvoj sociálních služeb“ ve výši 4.579 tis. Kč, který byl dokončen v roce 2019.</w:t>
      </w:r>
    </w:p>
    <w:p w:rsidR="00964660" w:rsidRPr="00994728" w:rsidRDefault="00964660" w:rsidP="00964660">
      <w:pPr>
        <w:ind w:firstLine="284"/>
        <w:jc w:val="both"/>
        <w:rPr>
          <w:i/>
          <w:sz w:val="20"/>
          <w:szCs w:val="20"/>
        </w:rPr>
      </w:pPr>
      <w:r w:rsidRPr="00994728">
        <w:rPr>
          <w:i/>
          <w:sz w:val="20"/>
          <w:szCs w:val="20"/>
        </w:rPr>
        <w:t xml:space="preserve">  </w:t>
      </w:r>
      <w:r w:rsidRPr="00994728">
        <w:rPr>
          <w:b/>
          <w:i/>
          <w:sz w:val="20"/>
          <w:szCs w:val="20"/>
        </w:rPr>
        <w:t xml:space="preserve">K rozpočtu běžných výdajů 2020: </w:t>
      </w:r>
      <w:r w:rsidRPr="00994728">
        <w:rPr>
          <w:i/>
          <w:sz w:val="20"/>
          <w:szCs w:val="20"/>
        </w:rPr>
        <w:t xml:space="preserve">Čerpání běžných výdajů je navrženo v souhrnné výši 160.389 tis. Kč (115% rozpočtu 2019). Kritériem k projednávání jednotlivých výdajů pro rok 2020 bylo doporučení finančního výboru města týkající se zákonného navýšení mezd, energií i cen služeb. Součástí běžných výdajů budou i velké opravy a to opravy budov škol – střechy </w:t>
      </w:r>
      <w:proofErr w:type="gramStart"/>
      <w:r w:rsidRPr="00994728">
        <w:rPr>
          <w:i/>
          <w:sz w:val="20"/>
          <w:szCs w:val="20"/>
        </w:rPr>
        <w:t>čp.101</w:t>
      </w:r>
      <w:proofErr w:type="gramEnd"/>
      <w:r w:rsidRPr="00994728">
        <w:rPr>
          <w:i/>
          <w:sz w:val="20"/>
          <w:szCs w:val="20"/>
        </w:rPr>
        <w:t xml:space="preserve"> a </w:t>
      </w:r>
      <w:r>
        <w:rPr>
          <w:i/>
          <w:sz w:val="20"/>
          <w:szCs w:val="20"/>
        </w:rPr>
        <w:t>čp.</w:t>
      </w:r>
      <w:r w:rsidRPr="00994728">
        <w:rPr>
          <w:i/>
          <w:sz w:val="20"/>
          <w:szCs w:val="20"/>
        </w:rPr>
        <w:t xml:space="preserve">103 (3.250 tis. Kč),  oprava budovy MŠ Zámecká </w:t>
      </w:r>
      <w:r>
        <w:rPr>
          <w:i/>
          <w:sz w:val="20"/>
          <w:szCs w:val="20"/>
        </w:rPr>
        <w:t xml:space="preserve">I. etapa </w:t>
      </w:r>
      <w:r w:rsidRPr="00994728">
        <w:rPr>
          <w:i/>
          <w:sz w:val="20"/>
          <w:szCs w:val="20"/>
        </w:rPr>
        <w:t>(4.500 tis. Kč), opravy bytového fondu (6.751 tis. Kč),</w:t>
      </w:r>
      <w:r>
        <w:rPr>
          <w:i/>
          <w:sz w:val="20"/>
          <w:szCs w:val="20"/>
        </w:rPr>
        <w:t xml:space="preserve">lokalita </w:t>
      </w:r>
      <w:r w:rsidRPr="00994728">
        <w:rPr>
          <w:i/>
          <w:sz w:val="20"/>
          <w:szCs w:val="20"/>
        </w:rPr>
        <w:t xml:space="preserve"> </w:t>
      </w:r>
      <w:proofErr w:type="spellStart"/>
      <w:r w:rsidRPr="00994728">
        <w:rPr>
          <w:i/>
          <w:sz w:val="20"/>
          <w:szCs w:val="20"/>
        </w:rPr>
        <w:t>Spořilov</w:t>
      </w:r>
      <w:proofErr w:type="spellEnd"/>
      <w:r w:rsidRPr="00994728">
        <w:rPr>
          <w:i/>
          <w:sz w:val="20"/>
          <w:szCs w:val="20"/>
        </w:rPr>
        <w:t xml:space="preserve"> – vodovod, kanalizace </w:t>
      </w:r>
      <w:r>
        <w:rPr>
          <w:i/>
          <w:sz w:val="20"/>
          <w:szCs w:val="20"/>
        </w:rPr>
        <w:t xml:space="preserve">(2.886 </w:t>
      </w:r>
      <w:r w:rsidRPr="00994728">
        <w:rPr>
          <w:i/>
          <w:sz w:val="20"/>
          <w:szCs w:val="20"/>
        </w:rPr>
        <w:t>tis. Kč</w:t>
      </w:r>
      <w:r>
        <w:rPr>
          <w:i/>
          <w:sz w:val="20"/>
          <w:szCs w:val="20"/>
        </w:rPr>
        <w:t>)</w:t>
      </w:r>
      <w:r w:rsidRPr="00994728">
        <w:rPr>
          <w:i/>
          <w:sz w:val="20"/>
          <w:szCs w:val="20"/>
        </w:rPr>
        <w:t>, komunikace, chodníky Za Lázněmi a další. Ve výdajích je počítáno s neinvestiční rozpočtovou rezervou ve výši 238 tis. Kč.</w:t>
      </w:r>
    </w:p>
    <w:p w:rsidR="00FB7C5D" w:rsidRPr="00106451" w:rsidRDefault="00964660" w:rsidP="00FB7C5D">
      <w:pPr>
        <w:jc w:val="both"/>
        <w:rPr>
          <w:i/>
          <w:sz w:val="20"/>
          <w:szCs w:val="20"/>
        </w:rPr>
      </w:pPr>
      <w:r w:rsidRPr="009267A5">
        <w:rPr>
          <w:b/>
          <w:i/>
          <w:sz w:val="20"/>
          <w:szCs w:val="20"/>
        </w:rPr>
        <w:t>K rozpočtu kapitálových výdajů 2020:</w:t>
      </w:r>
      <w:r w:rsidR="00FB7C5D" w:rsidRPr="00106451">
        <w:rPr>
          <w:i/>
          <w:sz w:val="20"/>
          <w:szCs w:val="20"/>
        </w:rPr>
        <w:t xml:space="preserve"> Kapitálové výdaje jsou navrženy v částce 63.661 tis. Kč.</w:t>
      </w:r>
      <w:r w:rsidR="00FB7C5D" w:rsidRPr="00106451">
        <w:rPr>
          <w:b/>
          <w:i/>
          <w:sz w:val="20"/>
          <w:szCs w:val="20"/>
        </w:rPr>
        <w:t xml:space="preserve"> </w:t>
      </w:r>
      <w:r w:rsidR="00FB7C5D" w:rsidRPr="00106451">
        <w:rPr>
          <w:i/>
          <w:sz w:val="20"/>
          <w:szCs w:val="20"/>
        </w:rPr>
        <w:t xml:space="preserve">Největší plánovanou akcí na rok 2020 bude ve spolupráci s VHS Turnov akce „Nouzov – inženýrské sítě a komunikace“, kde se počítá s částkou 17.200 tis. Kč.  Druhá nejvyšší investiční částka ve výši 13.615 tis. Kč připadá na projekt IROP„ZŠ J. </w:t>
      </w:r>
      <w:proofErr w:type="spellStart"/>
      <w:r w:rsidR="00FB7C5D" w:rsidRPr="00106451">
        <w:rPr>
          <w:i/>
          <w:sz w:val="20"/>
          <w:szCs w:val="20"/>
        </w:rPr>
        <w:t>Harracha</w:t>
      </w:r>
      <w:proofErr w:type="spellEnd"/>
      <w:r w:rsidR="00FB7C5D" w:rsidRPr="00106451">
        <w:rPr>
          <w:i/>
          <w:sz w:val="20"/>
          <w:szCs w:val="20"/>
        </w:rPr>
        <w:t xml:space="preserve"> - zvýšení kvality a dostupnosti infrastruktury základního vzdělávání“. Tento projekt bude financován pomocí úvěru. Další investiční akcí bude „</w:t>
      </w:r>
      <w:proofErr w:type="spellStart"/>
      <w:r w:rsidR="00FB7C5D" w:rsidRPr="00106451">
        <w:rPr>
          <w:i/>
          <w:sz w:val="20"/>
          <w:szCs w:val="20"/>
        </w:rPr>
        <w:t>Spořilov</w:t>
      </w:r>
      <w:proofErr w:type="spellEnd"/>
      <w:r w:rsidR="00FB7C5D" w:rsidRPr="00106451">
        <w:rPr>
          <w:i/>
          <w:sz w:val="20"/>
          <w:szCs w:val="20"/>
        </w:rPr>
        <w:t xml:space="preserve"> – komunikace</w:t>
      </w:r>
      <w:r w:rsidR="00FB7C5D">
        <w:rPr>
          <w:i/>
          <w:sz w:val="20"/>
          <w:szCs w:val="20"/>
        </w:rPr>
        <w:t>, vodovod</w:t>
      </w:r>
      <w:r w:rsidR="00FB7C5D" w:rsidRPr="00106451">
        <w:rPr>
          <w:i/>
          <w:sz w:val="20"/>
          <w:szCs w:val="20"/>
        </w:rPr>
        <w:t xml:space="preserve"> a kanaliz</w:t>
      </w:r>
      <w:r w:rsidR="00FB7C5D">
        <w:rPr>
          <w:i/>
          <w:sz w:val="20"/>
          <w:szCs w:val="20"/>
        </w:rPr>
        <w:t>ace – I. etapa“ (částka</w:t>
      </w:r>
      <w:r w:rsidR="00FB7C5D" w:rsidRPr="00106451">
        <w:rPr>
          <w:i/>
          <w:sz w:val="20"/>
          <w:szCs w:val="20"/>
        </w:rPr>
        <w:t xml:space="preserve"> 9.614 tis. Kč), která bude realizována ve spolupráci s VHS Turnov. </w:t>
      </w:r>
      <w:r w:rsidR="00FB7C5D" w:rsidRPr="006C23DC">
        <w:rPr>
          <w:i/>
          <w:sz w:val="20"/>
          <w:szCs w:val="20"/>
        </w:rPr>
        <w:t xml:space="preserve">I nadále se počítá s investičním rozvojem majetku, který spravuje Sportovní centrum Jilemnice, s.r.o. </w:t>
      </w:r>
      <w:r w:rsidR="00FB7C5D">
        <w:rPr>
          <w:i/>
          <w:sz w:val="20"/>
          <w:szCs w:val="20"/>
        </w:rPr>
        <w:t xml:space="preserve">Příplatek </w:t>
      </w:r>
      <w:r w:rsidR="00FB7C5D" w:rsidRPr="006C23DC">
        <w:rPr>
          <w:i/>
          <w:sz w:val="20"/>
          <w:szCs w:val="20"/>
        </w:rPr>
        <w:t>mimo základní kapitál</w:t>
      </w:r>
      <w:r w:rsidR="00FB7C5D">
        <w:rPr>
          <w:i/>
          <w:sz w:val="20"/>
          <w:szCs w:val="20"/>
        </w:rPr>
        <w:t xml:space="preserve"> bude činit </w:t>
      </w:r>
      <w:r w:rsidR="00FB7C5D" w:rsidRPr="006C23DC">
        <w:rPr>
          <w:i/>
          <w:sz w:val="20"/>
          <w:szCs w:val="20"/>
        </w:rPr>
        <w:t>9.640 tis. Kč</w:t>
      </w:r>
      <w:r w:rsidR="00FB7C5D">
        <w:rPr>
          <w:i/>
          <w:sz w:val="20"/>
          <w:szCs w:val="20"/>
        </w:rPr>
        <w:t xml:space="preserve">. </w:t>
      </w:r>
      <w:r w:rsidR="00FB7C5D" w:rsidRPr="00106451">
        <w:rPr>
          <w:i/>
          <w:sz w:val="20"/>
          <w:szCs w:val="20"/>
        </w:rPr>
        <w:t xml:space="preserve"> Novým projektem bude i výstavba čtyř sociálních bytů v čp. 70 (4.800 tis.</w:t>
      </w:r>
      <w:r w:rsidR="00FB7C5D">
        <w:rPr>
          <w:i/>
          <w:sz w:val="20"/>
          <w:szCs w:val="20"/>
        </w:rPr>
        <w:t xml:space="preserve"> </w:t>
      </w:r>
      <w:r w:rsidR="00FB7C5D" w:rsidRPr="00106451">
        <w:rPr>
          <w:i/>
          <w:sz w:val="20"/>
          <w:szCs w:val="20"/>
        </w:rPr>
        <w:t xml:space="preserve">Kč). </w:t>
      </w:r>
    </w:p>
    <w:p w:rsidR="00964660" w:rsidRPr="00644B9B" w:rsidRDefault="00964660" w:rsidP="00964660">
      <w:pPr>
        <w:ind w:firstLine="284"/>
        <w:jc w:val="both"/>
        <w:rPr>
          <w:i/>
          <w:sz w:val="20"/>
          <w:szCs w:val="20"/>
        </w:rPr>
      </w:pPr>
      <w:r w:rsidRPr="00644B9B">
        <w:rPr>
          <w:i/>
          <w:sz w:val="20"/>
          <w:szCs w:val="20"/>
        </w:rPr>
        <w:t xml:space="preserve"> Nadále bude pokračovat příprava projektových dokumentací k akcím, které se budou realizovat v příštích letech (</w:t>
      </w:r>
      <w:r>
        <w:rPr>
          <w:i/>
          <w:sz w:val="20"/>
          <w:szCs w:val="20"/>
        </w:rPr>
        <w:t>přístavba DC, území bytové výstavby Buben, chodník Roztocká, smuteční síň, knihovna, komunikace Nouzov,</w:t>
      </w:r>
      <w:r w:rsidRPr="00644B9B">
        <w:rPr>
          <w:i/>
          <w:sz w:val="20"/>
          <w:szCs w:val="20"/>
        </w:rPr>
        <w:t xml:space="preserve"> cyklostezka, apod.). </w:t>
      </w:r>
    </w:p>
    <w:p w:rsidR="00964660" w:rsidRPr="00A74B7D" w:rsidRDefault="00964660" w:rsidP="00964660">
      <w:pPr>
        <w:ind w:firstLine="284"/>
        <w:jc w:val="both"/>
        <w:rPr>
          <w:i/>
          <w:sz w:val="20"/>
          <w:szCs w:val="20"/>
        </w:rPr>
      </w:pPr>
      <w:r w:rsidRPr="00A74B7D">
        <w:rPr>
          <w:i/>
          <w:sz w:val="20"/>
          <w:szCs w:val="20"/>
        </w:rPr>
        <w:t xml:space="preserve"> </w:t>
      </w:r>
      <w:r w:rsidRPr="00A74B7D">
        <w:rPr>
          <w:b/>
          <w:i/>
          <w:sz w:val="20"/>
          <w:szCs w:val="20"/>
        </w:rPr>
        <w:t xml:space="preserve">Financování: </w:t>
      </w:r>
      <w:r w:rsidRPr="00A74B7D">
        <w:rPr>
          <w:i/>
          <w:sz w:val="20"/>
          <w:szCs w:val="20"/>
        </w:rPr>
        <w:t xml:space="preserve">Do třídy financování je zapojen celý přebytek hospodaření z roku 2019 ve výši 31.807 tis. Kč. V této části rozpočtu je rozpočtována dlouhodobá splátka projektu EPC ve výši 2.220 tis. Kč (konečná splatnost je 31. 12. 2026) a úvěr ve výši 18.000 tis. Kč na předfinancování projektu IROP„ZŠ J. </w:t>
      </w:r>
      <w:proofErr w:type="spellStart"/>
      <w:r w:rsidRPr="00A74B7D">
        <w:rPr>
          <w:i/>
          <w:sz w:val="20"/>
          <w:szCs w:val="20"/>
        </w:rPr>
        <w:t>Harracha</w:t>
      </w:r>
      <w:proofErr w:type="spellEnd"/>
      <w:r w:rsidRPr="00A74B7D">
        <w:rPr>
          <w:i/>
          <w:sz w:val="20"/>
          <w:szCs w:val="20"/>
        </w:rPr>
        <w:t xml:space="preserve">- zvýšení kvality a dostupnosti infrastruktury základního vzdělávání“. Úvěrová smlouva byla uzavřena a schválena již v roce 2019. Celkem je financování navrženo </w:t>
      </w:r>
      <w:r>
        <w:rPr>
          <w:i/>
          <w:sz w:val="20"/>
          <w:szCs w:val="20"/>
        </w:rPr>
        <w:t xml:space="preserve">ve výši </w:t>
      </w:r>
      <w:r w:rsidR="006706D6">
        <w:rPr>
          <w:i/>
          <w:sz w:val="20"/>
          <w:szCs w:val="20"/>
        </w:rPr>
        <w:t>47.587</w:t>
      </w:r>
      <w:r w:rsidRPr="00A74B7D">
        <w:rPr>
          <w:i/>
          <w:sz w:val="20"/>
          <w:szCs w:val="20"/>
        </w:rPr>
        <w:t xml:space="preserve"> tis. Kč.</w:t>
      </w:r>
    </w:p>
    <w:p w:rsidR="00964660" w:rsidRPr="00A74B7D" w:rsidRDefault="00964660" w:rsidP="00964660">
      <w:pPr>
        <w:ind w:firstLine="284"/>
        <w:jc w:val="both"/>
        <w:rPr>
          <w:i/>
          <w:sz w:val="20"/>
          <w:szCs w:val="20"/>
        </w:rPr>
      </w:pPr>
      <w:r w:rsidRPr="00A74B7D">
        <w:rPr>
          <w:b/>
          <w:i/>
          <w:sz w:val="20"/>
          <w:szCs w:val="20"/>
        </w:rPr>
        <w:t xml:space="preserve"> Závěr: </w:t>
      </w:r>
      <w:r w:rsidRPr="00A74B7D">
        <w:rPr>
          <w:i/>
          <w:sz w:val="20"/>
          <w:szCs w:val="20"/>
        </w:rPr>
        <w:t>Celkové příjmy na rok 2020 jsou navrhovány v částce 176.463 tis. Kč, celkové výdaje ve výši 224.050 tis. Kč. Rozdíl mezi příjmy a výdaji ve výši 47.587 tis. Kč je vyrovnán financováním</w:t>
      </w:r>
      <w:r w:rsidRPr="00A74B7D">
        <w:rPr>
          <w:b/>
          <w:i/>
          <w:sz w:val="20"/>
          <w:szCs w:val="20"/>
        </w:rPr>
        <w:t xml:space="preserve">, </w:t>
      </w:r>
      <w:r w:rsidRPr="00A74B7D">
        <w:rPr>
          <w:i/>
          <w:sz w:val="20"/>
          <w:szCs w:val="20"/>
        </w:rPr>
        <w:t>které tvoří přebytek hospodaření z roku 2019 ve výši 31.807 tis. Kč, úvěrem ve výši 18.000 tis. Kč, snížený</w:t>
      </w:r>
      <w:r>
        <w:rPr>
          <w:i/>
          <w:sz w:val="20"/>
          <w:szCs w:val="20"/>
        </w:rPr>
        <w:t>m</w:t>
      </w:r>
      <w:r w:rsidRPr="00A74B7D">
        <w:rPr>
          <w:i/>
          <w:sz w:val="20"/>
          <w:szCs w:val="20"/>
        </w:rPr>
        <w:t xml:space="preserve"> o splátku dlouhodobého závazku </w:t>
      </w:r>
      <w:r>
        <w:rPr>
          <w:i/>
          <w:sz w:val="20"/>
          <w:szCs w:val="20"/>
        </w:rPr>
        <w:t xml:space="preserve">z projektu EPC </w:t>
      </w:r>
      <w:r w:rsidRPr="00A74B7D">
        <w:rPr>
          <w:i/>
          <w:sz w:val="20"/>
          <w:szCs w:val="20"/>
        </w:rPr>
        <w:t>ve výši 2.220 tis. Kč.</w:t>
      </w:r>
    </w:p>
    <w:p w:rsidR="00964660" w:rsidRPr="004A34F8" w:rsidRDefault="00964660" w:rsidP="00964660">
      <w:pPr>
        <w:ind w:firstLine="284"/>
        <w:jc w:val="both"/>
        <w:rPr>
          <w:i/>
          <w:sz w:val="20"/>
          <w:szCs w:val="20"/>
        </w:rPr>
      </w:pPr>
      <w:r w:rsidRPr="00016356">
        <w:rPr>
          <w:i/>
          <w:sz w:val="20"/>
          <w:szCs w:val="20"/>
        </w:rPr>
        <w:t>Návrh rozpočtu na rok 2020 projednal a doporučil ke schválení finanční výbor dne 10. 2. 2020. Rada města návrh finančního výboru projednala a doporučila ke schválení dn</w:t>
      </w:r>
      <w:r w:rsidR="00016356" w:rsidRPr="00016356">
        <w:rPr>
          <w:i/>
          <w:sz w:val="20"/>
          <w:szCs w:val="20"/>
        </w:rPr>
        <w:t xml:space="preserve">e 12. 2. 2020 pod č. </w:t>
      </w:r>
      <w:proofErr w:type="spellStart"/>
      <w:r w:rsidR="00016356" w:rsidRPr="00016356">
        <w:rPr>
          <w:i/>
          <w:sz w:val="20"/>
          <w:szCs w:val="20"/>
        </w:rPr>
        <w:t>us</w:t>
      </w:r>
      <w:proofErr w:type="spellEnd"/>
      <w:r w:rsidR="00016356" w:rsidRPr="00016356">
        <w:rPr>
          <w:i/>
          <w:sz w:val="20"/>
          <w:szCs w:val="20"/>
        </w:rPr>
        <w:t>.: 6/20</w:t>
      </w:r>
      <w:r w:rsidRPr="00016356">
        <w:rPr>
          <w:i/>
          <w:sz w:val="20"/>
          <w:szCs w:val="20"/>
        </w:rPr>
        <w:t>. Návrh rozpočtu byl řádně vyvěšen na úřední desce a internetových stránkách města.</w:t>
      </w:r>
      <w:r w:rsidR="00FB7C5D">
        <w:rPr>
          <w:i/>
          <w:sz w:val="20"/>
          <w:szCs w:val="20"/>
        </w:rPr>
        <w:t xml:space="preserve"> ZM schválilo rozpočet na rok 2020 dne 26. 2. 2020 pod č. </w:t>
      </w:r>
      <w:proofErr w:type="spellStart"/>
      <w:r w:rsidR="00FB7C5D">
        <w:rPr>
          <w:i/>
          <w:sz w:val="20"/>
          <w:szCs w:val="20"/>
        </w:rPr>
        <w:t>usn</w:t>
      </w:r>
      <w:proofErr w:type="spellEnd"/>
      <w:r w:rsidR="00FB7C5D">
        <w:rPr>
          <w:i/>
          <w:sz w:val="20"/>
          <w:szCs w:val="20"/>
        </w:rPr>
        <w:t>.: 4/20.</w:t>
      </w:r>
    </w:p>
    <w:p w:rsidR="00A73B55" w:rsidRDefault="00A73B55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741"/>
        <w:gridCol w:w="974"/>
        <w:gridCol w:w="819"/>
        <w:gridCol w:w="2733"/>
      </w:tblGrid>
      <w:tr w:rsidR="00686401" w:rsidTr="00964660">
        <w:trPr>
          <w:trHeight w:val="3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Město Jilemnice - základní údaje k hospodaření za rok 2019 a k rozpočtu 2020</w:t>
            </w:r>
          </w:p>
        </w:tc>
      </w:tr>
      <w:tr w:rsidR="00686401" w:rsidTr="00964660">
        <w:trPr>
          <w:trHeight w:val="21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3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1) Vyhodnocení přebytku hospodaření za rok 2019 (tis. Kč.)</w:t>
            </w:r>
          </w:p>
        </w:tc>
      </w:tr>
      <w:tr w:rsidR="00686401" w:rsidTr="00964660">
        <w:trPr>
          <w:trHeight w:val="25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rozdíl mezi příjmy a výdaji za rok 2019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11 453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dlouhodobé splátky v roce 2019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-2 185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zapojený přebytek z roku 2018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22 539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celkový přebytek hospodaření za rok 2019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31 807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6401" w:rsidTr="00964660">
        <w:trPr>
          <w:trHeight w:val="15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vyšší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ušetřené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prodej majetku, bytů, pozemků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8 842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8 858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 xml:space="preserve">privatizace </w:t>
            </w:r>
            <w:proofErr w:type="gramStart"/>
            <w:r w:rsidRPr="00316C93">
              <w:rPr>
                <w:rFonts w:ascii="Arial" w:hAnsi="Arial" w:cs="Arial"/>
                <w:sz w:val="16"/>
                <w:szCs w:val="16"/>
              </w:rPr>
              <w:t>bytů,  pozemky</w:t>
            </w:r>
            <w:proofErr w:type="gramEnd"/>
            <w:r w:rsidRPr="00316C93">
              <w:rPr>
                <w:rFonts w:ascii="Arial" w:hAnsi="Arial" w:cs="Arial"/>
                <w:sz w:val="16"/>
                <w:szCs w:val="16"/>
              </w:rPr>
              <w:t xml:space="preserve"> Nouzov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daňové příjmy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4 735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4 735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daň z hazardu, odvod z hracích přístrojů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1 260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1 260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přijaté náhrady, vratky dotací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457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457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komunální odpad (poplatek, kompenzace)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409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107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516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správní a místní poplatky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poplatky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317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317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příjem z věcných břemen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úhrada za energetická opatření SC, s.r.o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102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102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pečovatelská služba, soc. péče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415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493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činnost místní správy,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veřejnospr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>. smlouvy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1 641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1 668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areál služeb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59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61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lesnictví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-62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244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sankční platby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-141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-141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nájemné a služby ostatní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-183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348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bytové hospodářství - nájem, služby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-547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2 776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2 229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částečný přesun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opravy budov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škol,  čp.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2 905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2 905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4"/>
                <w:szCs w:val="14"/>
              </w:rPr>
            </w:pPr>
            <w:r w:rsidRPr="00316C93">
              <w:rPr>
                <w:rFonts w:ascii="Arial" w:hAnsi="Arial" w:cs="Arial"/>
                <w:sz w:val="14"/>
                <w:szCs w:val="14"/>
              </w:rPr>
              <w:t>přesun do r. 2020 (střecha čp. 101,103)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památková péče, obnova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zahr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domku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2 429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2 429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dotace VHS na akci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Bátovka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2 000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2 000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vratka z vyúčtování projektu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komunální služby, veř.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osvětlení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>, pohřebnictví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881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881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ZŠ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Harracha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- projekt IROP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1 065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1 065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přesun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knihovna - nové vybavení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1 015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1 015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Komunikace Žižkova - rekonstrukce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947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947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přesun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veřejná zeleň, projekty ŽP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938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938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projektové práce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843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843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částečný přesun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projekty  OPLZZ správy (MA21 a Podpora soc. práce)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785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785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nevyčerpáno,</w:t>
            </w:r>
            <w:r w:rsidR="00316C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C93">
              <w:rPr>
                <w:rFonts w:ascii="Arial" w:hAnsi="Arial" w:cs="Arial"/>
                <w:sz w:val="16"/>
                <w:szCs w:val="16"/>
              </w:rPr>
              <w:t>vratka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doprava (údržba, stavby a projekce)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částečný přesun do r. 2020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krizové řízení, obecní policie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572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572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316C93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316C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územní plán, územní </w:t>
            </w:r>
            <w:proofErr w:type="spellStart"/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rozvoj,inf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 xml:space="preserve"> systém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202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202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finanční operace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výkup pozemků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příprava území k bytové výstavbě - Nouzov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-270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-270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nečerpaná rozpočtová rezerva a úvěr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-5 800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836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color w:val="FF0000"/>
                <w:sz w:val="20"/>
                <w:szCs w:val="20"/>
              </w:rPr>
              <w:t xml:space="preserve">-4 964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70"/>
        </w:trPr>
        <w:tc>
          <w:tcPr>
            <w:tcW w:w="4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293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317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70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9 680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22 127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31 807 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316C93" w:rsidRDefault="00316C93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9"/>
        <w:gridCol w:w="196"/>
        <w:gridCol w:w="925"/>
        <w:gridCol w:w="144"/>
        <w:gridCol w:w="1415"/>
        <w:gridCol w:w="2552"/>
      </w:tblGrid>
      <w:tr w:rsidR="00686401" w:rsidTr="00964660">
        <w:trPr>
          <w:trHeight w:val="330"/>
        </w:trPr>
        <w:tc>
          <w:tcPr>
            <w:tcW w:w="6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2) V rozpočtu 2020 jsou zahrnuty tyto investice: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70"/>
        </w:trPr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Investice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016356" w:rsidRDefault="00686401" w:rsidP="000163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částka (tis. </w:t>
            </w:r>
            <w:proofErr w:type="gramStart"/>
            <w:r w:rsidRPr="00016356">
              <w:rPr>
                <w:rFonts w:ascii="Arial" w:hAnsi="Arial" w:cs="Arial"/>
                <w:b/>
                <w:bCs/>
                <w:sz w:val="18"/>
                <w:szCs w:val="18"/>
              </w:rPr>
              <w:t>Kč )</w:t>
            </w:r>
            <w:proofErr w:type="gram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686401" w:rsidTr="00964660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Nouzov - inženýrské sítě, komunikace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17 200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spolupráce s VHS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ZŠ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Harracha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- projekt IROP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13 615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964660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964660">
              <w:rPr>
                <w:rFonts w:ascii="Arial" w:hAnsi="Arial" w:cs="Arial"/>
                <w:sz w:val="20"/>
                <w:szCs w:val="20"/>
              </w:rPr>
              <w:t xml:space="preserve">financování </w:t>
            </w:r>
            <w:proofErr w:type="gramStart"/>
            <w:r w:rsidRPr="00964660">
              <w:rPr>
                <w:rFonts w:ascii="Arial" w:hAnsi="Arial" w:cs="Arial"/>
                <w:sz w:val="20"/>
                <w:szCs w:val="20"/>
              </w:rPr>
              <w:t>pomocí  úvěru</w:t>
            </w:r>
            <w:proofErr w:type="gramEnd"/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Spořilov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- komunikace a kanalizace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9 614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z toho 7514 dotace VHS</w:t>
            </w:r>
          </w:p>
        </w:tc>
      </w:tr>
      <w:tr w:rsidR="00686401" w:rsidTr="00964660">
        <w:trPr>
          <w:trHeight w:val="255"/>
        </w:trPr>
        <w:tc>
          <w:tcPr>
            <w:tcW w:w="5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SC,s.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>r.o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4660">
              <w:rPr>
                <w:rFonts w:ascii="Arial" w:hAnsi="Arial" w:cs="Arial"/>
                <w:sz w:val="16"/>
                <w:szCs w:val="16"/>
              </w:rPr>
              <w:t>-obnova a investice sportovních zařízení - příplatek mimo ZK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9 640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Sociální byty (čp. 70)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8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Místní správa -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digi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úřední deska, automobil, VT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1 412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450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VHS - vlastní podíl na kanalizaci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964660" w:rsidRDefault="00686401">
            <w:pPr>
              <w:rPr>
                <w:rFonts w:ascii="Arial" w:hAnsi="Arial" w:cs="Arial"/>
                <w:sz w:val="16"/>
                <w:szCs w:val="16"/>
              </w:rPr>
            </w:pPr>
            <w:r w:rsidRPr="00964660">
              <w:rPr>
                <w:rFonts w:ascii="Arial" w:hAnsi="Arial" w:cs="Arial"/>
                <w:sz w:val="16"/>
                <w:szCs w:val="16"/>
              </w:rPr>
              <w:t>čp. 64, Sokolská, Na Račanech, Kozinec</w:t>
            </w:r>
          </w:p>
        </w:tc>
      </w:tr>
      <w:tr w:rsidR="00686401" w:rsidTr="00964660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Školní stravování - modernizace zařízení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MMN,a.s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. - příplatek mimo zákl.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kapitál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ZŠ při dětském centru - přístavba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Ulice Žižkova - rekonstrukce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doplatek</w:t>
            </w:r>
          </w:p>
        </w:tc>
      </w:tr>
      <w:tr w:rsidR="00686401" w:rsidTr="00964660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Příprava území k bytové výstavbě - Buben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Chodník ul. Roztocká - projekce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Smuteční síň - studie, projekt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Projektová dokumentace nad 60000,- Kč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Cyklostezka "Za prací" - projekce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Výkup pozemků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Obecní policie - kamerový systém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Požární ochrana - vstupní brána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Udržitelná mobilita - projekt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5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Nouzov komunikace - rekonstrukce (projekční práce)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5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Ostatní ( knihovna -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softwear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>, přístřešek na kontejner)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55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Kompostárna -příspěvek svazku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70"/>
        </w:trPr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Rozpočtová rezerva investiční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70"/>
        </w:trPr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63 661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225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401" w:rsidTr="00964660">
        <w:trPr>
          <w:trHeight w:val="315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3) Údaje o bankovních úvěrech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40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6401" w:rsidTr="00964660">
        <w:trPr>
          <w:trHeight w:val="52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Město Jilemnice má ke dni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31.12.2019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 xml:space="preserve"> otevřený střednědobý </w:t>
            </w:r>
            <w:r w:rsidR="00964660">
              <w:rPr>
                <w:rFonts w:ascii="Arial" w:hAnsi="Arial" w:cs="Arial"/>
                <w:sz w:val="20"/>
                <w:szCs w:val="20"/>
              </w:rPr>
              <w:t>úvěr na financování projektu ZŠ</w:t>
            </w:r>
            <w:r w:rsidRPr="00686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6401">
              <w:rPr>
                <w:rFonts w:ascii="Arial" w:hAnsi="Arial" w:cs="Arial"/>
                <w:sz w:val="20"/>
                <w:szCs w:val="20"/>
              </w:rPr>
              <w:t>Harracha</w:t>
            </w:r>
            <w:proofErr w:type="spellEnd"/>
            <w:r w:rsidRPr="00686401">
              <w:rPr>
                <w:rFonts w:ascii="Arial" w:hAnsi="Arial" w:cs="Arial"/>
                <w:sz w:val="20"/>
                <w:szCs w:val="20"/>
              </w:rPr>
              <w:t xml:space="preserve"> s možností financování do 18.000 tis. Kč.</w:t>
            </w:r>
          </w:p>
        </w:tc>
      </w:tr>
      <w:tr w:rsidR="00686401" w:rsidTr="00964660">
        <w:trPr>
          <w:trHeight w:val="255"/>
        </w:trPr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 xml:space="preserve">Zůstatek dodavatelského závazku z projektu EPC k </w:t>
            </w:r>
            <w:proofErr w:type="gramStart"/>
            <w:r w:rsidRPr="00686401">
              <w:rPr>
                <w:rFonts w:ascii="Arial" w:hAnsi="Arial" w:cs="Arial"/>
                <w:sz w:val="20"/>
                <w:szCs w:val="20"/>
              </w:rPr>
              <w:t>31.12.2019</w:t>
            </w:r>
            <w:proofErr w:type="gramEnd"/>
            <w:r w:rsidRPr="006864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Pr="00686401" w:rsidRDefault="00686401">
            <w:pPr>
              <w:rPr>
                <w:rFonts w:ascii="Arial" w:hAnsi="Arial" w:cs="Arial"/>
                <w:sz w:val="20"/>
                <w:szCs w:val="20"/>
              </w:rPr>
            </w:pPr>
            <w:r w:rsidRPr="00686401">
              <w:rPr>
                <w:rFonts w:ascii="Arial" w:hAnsi="Arial" w:cs="Arial"/>
                <w:sz w:val="20"/>
                <w:szCs w:val="20"/>
              </w:rPr>
              <w:t>16.300,7 tis. Kč</w:t>
            </w:r>
          </w:p>
        </w:tc>
      </w:tr>
    </w:tbl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964660" w:rsidRDefault="00964660" w:rsidP="00A730F2">
      <w:pPr>
        <w:pStyle w:val="Zkladntextodsazen"/>
        <w:ind w:firstLine="0"/>
        <w:jc w:val="both"/>
        <w:rPr>
          <w:b/>
        </w:rPr>
      </w:pPr>
    </w:p>
    <w:p w:rsidR="00964660" w:rsidRDefault="00964660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FB7C5D" w:rsidRDefault="00FB7C5D" w:rsidP="00A730F2">
      <w:pPr>
        <w:pStyle w:val="Zkladntextodsazen"/>
        <w:ind w:firstLine="0"/>
        <w:jc w:val="both"/>
        <w:rPr>
          <w:b/>
        </w:rPr>
      </w:pPr>
    </w:p>
    <w:p w:rsidR="00FB7C5D" w:rsidRDefault="00FB7C5D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tbl>
      <w:tblPr>
        <w:tblW w:w="107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595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10"/>
        <w:gridCol w:w="146"/>
        <w:gridCol w:w="556"/>
      </w:tblGrid>
      <w:tr w:rsidR="00686401" w:rsidTr="00964660">
        <w:trPr>
          <w:gridBefore w:val="1"/>
          <w:wBefore w:w="142" w:type="dxa"/>
          <w:trHeight w:val="360"/>
        </w:trPr>
        <w:tc>
          <w:tcPr>
            <w:tcW w:w="100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Skutečné příjmy ze sdílených a výlučných daní v letech 2004 - 2020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7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70"/>
        </w:trPr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druh daně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2014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2015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2016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2017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2018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2019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center"/>
              <w:rPr>
                <w:rFonts w:ascii="Arial CE" w:hAnsi="Arial CE" w:cs="Arial CE"/>
                <w:b/>
                <w:bCs/>
                <w:sz w:val="12"/>
                <w:szCs w:val="12"/>
              </w:rPr>
            </w:pPr>
            <w:r>
              <w:rPr>
                <w:rFonts w:ascii="Arial CE" w:hAnsi="Arial CE" w:cs="Arial CE"/>
                <w:b/>
                <w:bCs/>
                <w:sz w:val="12"/>
                <w:szCs w:val="12"/>
              </w:rPr>
              <w:t>R 2020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 závislé činnosti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8 656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9 123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9 132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10 339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9 525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9 012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8 986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9 577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9 681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12 987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13 577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13 857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15 512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17 400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19 851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21 987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22 000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FO z přiznání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5 788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6 185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4 528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3 660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5 451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1 996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1 299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1 005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1 364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551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 právnických osob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8 576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9 494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9 696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10 931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12 842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8 904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8 732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8 139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8 960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11 770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13 460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13 666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15 443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15 696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15 358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17 306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16 000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DPH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12 641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14 935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15 652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16 558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18 362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17 902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18 833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19 325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18 079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25 573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27 258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27 046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28 298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31 836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37 790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38 969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39 800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srážková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546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1 224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1 494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1 474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1 673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1 858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1 800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55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 nemovitosti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2 277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2 201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2 300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2 307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2 299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2 288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3 710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3 691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4 234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4 033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3 970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3 957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4 021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4 018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4 083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4 165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4 100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trHeight w:val="270"/>
        </w:trPr>
        <w:tc>
          <w:tcPr>
            <w:tcW w:w="17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Celkem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38 484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42 398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41 832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44 397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49 218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40 252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42 974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42 809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43 331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56 592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61 084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61 439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66 132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70 933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79 178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84 835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401" w:rsidRDefault="00686401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84 200</w:t>
            </w: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686401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6401" w:rsidRDefault="00686401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</w:p>
              </w:tc>
            </w:tr>
          </w:tbl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316C9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D50AF2E" wp14:editId="1B5D66FB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75565</wp:posOffset>
                  </wp:positionV>
                  <wp:extent cx="6238875" cy="5105400"/>
                  <wp:effectExtent l="0" t="0" r="28575" b="38100"/>
                  <wp:wrapNone/>
                  <wp:docPr id="7195" name="Graf 7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  <w:tr w:rsidR="00686401" w:rsidTr="00964660">
        <w:trPr>
          <w:gridBefore w:val="1"/>
          <w:wBefore w:w="142" w:type="dxa"/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  <w:hideMark/>
          </w:tcPr>
          <w:p w:rsidR="00686401" w:rsidRDefault="00686401">
            <w:pPr>
              <w:rPr>
                <w:sz w:val="20"/>
                <w:szCs w:val="20"/>
              </w:rPr>
            </w:pPr>
          </w:p>
        </w:tc>
      </w:tr>
    </w:tbl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316C93" w:rsidRDefault="00316C93" w:rsidP="00A730F2">
      <w:pPr>
        <w:pStyle w:val="Zkladntextodsazen"/>
        <w:ind w:firstLine="0"/>
        <w:jc w:val="both"/>
        <w:rPr>
          <w:b/>
        </w:rPr>
      </w:pPr>
    </w:p>
    <w:p w:rsidR="00316C93" w:rsidRDefault="00316C93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p w:rsidR="00686401" w:rsidRDefault="00686401" w:rsidP="00A730F2">
      <w:pPr>
        <w:pStyle w:val="Zkladntextodsazen"/>
        <w:ind w:firstLine="0"/>
        <w:jc w:val="both"/>
        <w:rPr>
          <w:b/>
        </w:rPr>
      </w:pPr>
    </w:p>
    <w:tbl>
      <w:tblPr>
        <w:tblW w:w="249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78D8042" wp14:editId="3A7E614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-276860</wp:posOffset>
                  </wp:positionV>
                  <wp:extent cx="6315075" cy="4610100"/>
                  <wp:effectExtent l="0" t="0" r="28575" b="38100"/>
                  <wp:wrapNone/>
                  <wp:docPr id="2" name="Graf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686401">
              <w:trPr>
                <w:trHeight w:val="25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6401" w:rsidRDefault="00686401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bookmarkStart w:id="0" w:name="RANGE!B7:R68"/>
                  <w:bookmarkEnd w:id="0"/>
                </w:p>
              </w:tc>
            </w:tr>
          </w:tbl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D65EF6E" wp14:editId="6A9F094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8890</wp:posOffset>
                  </wp:positionV>
                  <wp:extent cx="6315075" cy="4629150"/>
                  <wp:effectExtent l="0" t="0" r="28575" b="38100"/>
                  <wp:wrapNone/>
                  <wp:docPr id="3" name="Graf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686401">
              <w:trPr>
                <w:trHeight w:val="25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6401" w:rsidRDefault="00686401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</w:p>
              </w:tc>
            </w:tr>
          </w:tbl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86401" w:rsidTr="00316C93">
        <w:trPr>
          <w:trHeight w:val="255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316C93" w:rsidRDefault="00316C93">
            <w:pPr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87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0"/>
              <w:gridCol w:w="976"/>
              <w:gridCol w:w="976"/>
              <w:gridCol w:w="976"/>
              <w:gridCol w:w="976"/>
              <w:gridCol w:w="976"/>
              <w:gridCol w:w="976"/>
              <w:gridCol w:w="956"/>
            </w:tblGrid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 wp14:anchorId="7232E897" wp14:editId="2611CADD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118745</wp:posOffset>
                        </wp:positionV>
                        <wp:extent cx="6257925" cy="4248150"/>
                        <wp:effectExtent l="0" t="0" r="28575" b="38100"/>
                        <wp:wrapNone/>
                        <wp:docPr id="4" name="Graf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0"/>
                  </w:tblGrid>
                  <w:tr w:rsidR="00316C93">
                    <w:trPr>
                      <w:trHeight w:val="255"/>
                      <w:tblCellSpacing w:w="0" w:type="dxa"/>
                    </w:trPr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4384" behindDoc="0" locked="0" layoutInCell="1" allowOverlap="1" wp14:anchorId="13A04A3E" wp14:editId="074CEAB8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80645</wp:posOffset>
                        </wp:positionV>
                        <wp:extent cx="6286500" cy="4772025"/>
                        <wp:effectExtent l="0" t="0" r="38100" b="28575"/>
                        <wp:wrapNone/>
                        <wp:docPr id="1" name="Graf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0"/>
                  </w:tblGrid>
                  <w:tr w:rsidR="00316C93">
                    <w:trPr>
                      <w:trHeight w:val="255"/>
                      <w:tblCellSpacing w:w="0" w:type="dxa"/>
                    </w:trPr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9072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"/>
                    <w:gridCol w:w="962"/>
                    <w:gridCol w:w="962"/>
                    <w:gridCol w:w="962"/>
                    <w:gridCol w:w="962"/>
                    <w:gridCol w:w="962"/>
                    <w:gridCol w:w="962"/>
                    <w:gridCol w:w="1376"/>
                    <w:gridCol w:w="962"/>
                  </w:tblGrid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96466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anchor distT="0" distB="0" distL="114300" distR="114300" simplePos="0" relativeHeight="251666432" behindDoc="0" locked="0" layoutInCell="1" allowOverlap="1" wp14:anchorId="663B6E9B" wp14:editId="110F0DAC">
                              <wp:simplePos x="0" y="0"/>
                              <wp:positionH relativeFrom="column">
                                <wp:posOffset>246380</wp:posOffset>
                              </wp:positionH>
                              <wp:positionV relativeFrom="paragraph">
                                <wp:posOffset>128270</wp:posOffset>
                              </wp:positionV>
                              <wp:extent cx="5543550" cy="2905125"/>
                              <wp:effectExtent l="0" t="0" r="38100" b="28575"/>
                              <wp:wrapNone/>
                              <wp:docPr id="9" name="Graf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31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"/>
                        </w:tblGrid>
                        <w:tr w:rsidR="00316C93">
                          <w:trPr>
                            <w:trHeight w:val="315"/>
                            <w:tblCellSpacing w:w="0" w:type="dxa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16C93" w:rsidRDefault="00316C9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96466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anchor distT="0" distB="0" distL="114300" distR="114300" simplePos="0" relativeHeight="251667456" behindDoc="0" locked="0" layoutInCell="1" allowOverlap="1" wp14:anchorId="6B749CAB" wp14:editId="73AB4D12">
                              <wp:simplePos x="0" y="0"/>
                              <wp:positionH relativeFrom="column">
                                <wp:posOffset>288290</wp:posOffset>
                              </wp:positionH>
                              <wp:positionV relativeFrom="paragraph">
                                <wp:posOffset>56515</wp:posOffset>
                              </wp:positionV>
                              <wp:extent cx="5495925" cy="2790825"/>
                              <wp:effectExtent l="0" t="0" r="28575" b="28575"/>
                              <wp:wrapNone/>
                              <wp:docPr id="8" name="Graf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anchor distT="0" distB="0" distL="114300" distR="114300" simplePos="0" relativeHeight="251668480" behindDoc="0" locked="0" layoutInCell="1" allowOverlap="1" wp14:anchorId="4526B4A0" wp14:editId="78EC49CB">
                              <wp:simplePos x="0" y="0"/>
                              <wp:positionH relativeFrom="column">
                                <wp:posOffset>250190</wp:posOffset>
                              </wp:positionH>
                              <wp:positionV relativeFrom="paragraph">
                                <wp:posOffset>46990</wp:posOffset>
                              </wp:positionV>
                              <wp:extent cx="5562600" cy="2686050"/>
                              <wp:effectExtent l="0" t="0" r="38100" b="38100"/>
                              <wp:wrapNone/>
                              <wp:docPr id="5" name="Graf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5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16C93" w:rsidTr="00316C93">
                    <w:trPr>
                      <w:trHeight w:val="255"/>
                    </w:trPr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6C93" w:rsidRDefault="00316C9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16C93" w:rsidTr="00316C93">
              <w:trPr>
                <w:trHeight w:val="255"/>
              </w:trPr>
              <w:tc>
                <w:tcPr>
                  <w:tcW w:w="1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6C93" w:rsidRDefault="00316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6C93" w:rsidRDefault="00316C9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01" w:rsidRDefault="0068640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FB7C5D" w:rsidRDefault="00FB7C5D" w:rsidP="00FB7C5D">
      <w:pPr>
        <w:pStyle w:val="Zkladntextodsazen"/>
        <w:ind w:firstLine="0"/>
        <w:jc w:val="both"/>
        <w:rPr>
          <w:b/>
        </w:rPr>
      </w:pPr>
      <w:bookmarkStart w:id="1" w:name="_GoBack"/>
      <w:bookmarkEnd w:id="1"/>
    </w:p>
    <w:sectPr w:rsidR="00FB7C5D" w:rsidSect="00964660">
      <w:headerReference w:type="default" r:id="rId16"/>
      <w:pgSz w:w="11906" w:h="16838"/>
      <w:pgMar w:top="1134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04" w:rsidRDefault="00967104" w:rsidP="00BA7E1F">
      <w:r>
        <w:separator/>
      </w:r>
    </w:p>
  </w:endnote>
  <w:endnote w:type="continuationSeparator" w:id="0">
    <w:p w:rsidR="00967104" w:rsidRDefault="00967104" w:rsidP="00BA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04" w:rsidRDefault="00967104" w:rsidP="00BA7E1F">
      <w:r>
        <w:separator/>
      </w:r>
    </w:p>
  </w:footnote>
  <w:footnote w:type="continuationSeparator" w:id="0">
    <w:p w:rsidR="00967104" w:rsidRDefault="00967104" w:rsidP="00BA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93433"/>
      <w:docPartObj>
        <w:docPartGallery w:val="Page Numbers (Top of Page)"/>
        <w:docPartUnique/>
      </w:docPartObj>
    </w:sdtPr>
    <w:sdtEndPr/>
    <w:sdtContent>
      <w:p w:rsidR="00BA7E1F" w:rsidRDefault="00BA7E1F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5D">
          <w:rPr>
            <w:noProof/>
          </w:rPr>
          <w:t>8</w:t>
        </w:r>
        <w:r>
          <w:fldChar w:fldCharType="end"/>
        </w:r>
      </w:p>
    </w:sdtContent>
  </w:sdt>
  <w:p w:rsidR="00BA7E1F" w:rsidRDefault="00BA7E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FEB"/>
    <w:multiLevelType w:val="hybridMultilevel"/>
    <w:tmpl w:val="7DEA1C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07448A"/>
    <w:multiLevelType w:val="multilevel"/>
    <w:tmpl w:val="62BAF1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C973A89"/>
    <w:multiLevelType w:val="hybridMultilevel"/>
    <w:tmpl w:val="337C8348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491E3DE0"/>
    <w:multiLevelType w:val="hybridMultilevel"/>
    <w:tmpl w:val="4F3866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3216985"/>
    <w:multiLevelType w:val="multilevel"/>
    <w:tmpl w:val="EFC0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84A4B9D"/>
    <w:multiLevelType w:val="hybridMultilevel"/>
    <w:tmpl w:val="13F88E4C"/>
    <w:lvl w:ilvl="0" w:tplc="AE0C8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A554A"/>
    <w:multiLevelType w:val="hybridMultilevel"/>
    <w:tmpl w:val="0002BB2E"/>
    <w:lvl w:ilvl="0" w:tplc="0405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>
    <w:nsid w:val="6EFC022F"/>
    <w:multiLevelType w:val="hybridMultilevel"/>
    <w:tmpl w:val="0356729E"/>
    <w:lvl w:ilvl="0" w:tplc="040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8">
    <w:nsid w:val="7B46098F"/>
    <w:multiLevelType w:val="hybridMultilevel"/>
    <w:tmpl w:val="904C2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6C"/>
    <w:rsid w:val="00003193"/>
    <w:rsid w:val="00007DBB"/>
    <w:rsid w:val="00016356"/>
    <w:rsid w:val="000513BA"/>
    <w:rsid w:val="00060ABB"/>
    <w:rsid w:val="000664FF"/>
    <w:rsid w:val="000756FE"/>
    <w:rsid w:val="000A1373"/>
    <w:rsid w:val="000A2285"/>
    <w:rsid w:val="000A541D"/>
    <w:rsid w:val="000D4D7E"/>
    <w:rsid w:val="000D7CB8"/>
    <w:rsid w:val="000E7B9B"/>
    <w:rsid w:val="0010213D"/>
    <w:rsid w:val="00103652"/>
    <w:rsid w:val="00105FD2"/>
    <w:rsid w:val="00106133"/>
    <w:rsid w:val="00125184"/>
    <w:rsid w:val="00135244"/>
    <w:rsid w:val="00153120"/>
    <w:rsid w:val="00167C1A"/>
    <w:rsid w:val="00177461"/>
    <w:rsid w:val="00186FD4"/>
    <w:rsid w:val="001B601E"/>
    <w:rsid w:val="001C3042"/>
    <w:rsid w:val="001E558A"/>
    <w:rsid w:val="001F7B16"/>
    <w:rsid w:val="002234E9"/>
    <w:rsid w:val="00234737"/>
    <w:rsid w:val="00236210"/>
    <w:rsid w:val="00265D02"/>
    <w:rsid w:val="002873EC"/>
    <w:rsid w:val="00291BE6"/>
    <w:rsid w:val="0029339F"/>
    <w:rsid w:val="00295613"/>
    <w:rsid w:val="00296170"/>
    <w:rsid w:val="002A08F8"/>
    <w:rsid w:val="002A71DC"/>
    <w:rsid w:val="002B142E"/>
    <w:rsid w:val="002B1FA0"/>
    <w:rsid w:val="002B31BA"/>
    <w:rsid w:val="002B3CE7"/>
    <w:rsid w:val="002C6E05"/>
    <w:rsid w:val="00316C93"/>
    <w:rsid w:val="00321EC3"/>
    <w:rsid w:val="00331CCF"/>
    <w:rsid w:val="00333C77"/>
    <w:rsid w:val="0034394B"/>
    <w:rsid w:val="00362954"/>
    <w:rsid w:val="003710A7"/>
    <w:rsid w:val="0037729A"/>
    <w:rsid w:val="00381F45"/>
    <w:rsid w:val="00390AAB"/>
    <w:rsid w:val="003A0920"/>
    <w:rsid w:val="003A1C5C"/>
    <w:rsid w:val="003C25A8"/>
    <w:rsid w:val="003C496A"/>
    <w:rsid w:val="003D1AA0"/>
    <w:rsid w:val="003F36CB"/>
    <w:rsid w:val="00415BF7"/>
    <w:rsid w:val="004300CD"/>
    <w:rsid w:val="00436577"/>
    <w:rsid w:val="00443B2B"/>
    <w:rsid w:val="00462F1D"/>
    <w:rsid w:val="00465D9D"/>
    <w:rsid w:val="00466E62"/>
    <w:rsid w:val="00467C8F"/>
    <w:rsid w:val="0047301B"/>
    <w:rsid w:val="004A34F8"/>
    <w:rsid w:val="004A70D5"/>
    <w:rsid w:val="004B3964"/>
    <w:rsid w:val="004C54BE"/>
    <w:rsid w:val="004F25F0"/>
    <w:rsid w:val="004F45AE"/>
    <w:rsid w:val="00511B59"/>
    <w:rsid w:val="00534C80"/>
    <w:rsid w:val="005364E3"/>
    <w:rsid w:val="00544832"/>
    <w:rsid w:val="00554742"/>
    <w:rsid w:val="00557BF1"/>
    <w:rsid w:val="00563DF1"/>
    <w:rsid w:val="00566B39"/>
    <w:rsid w:val="00582039"/>
    <w:rsid w:val="005D5BCE"/>
    <w:rsid w:val="005F0073"/>
    <w:rsid w:val="005F72F3"/>
    <w:rsid w:val="00602AF6"/>
    <w:rsid w:val="0062182D"/>
    <w:rsid w:val="00642BD5"/>
    <w:rsid w:val="00644B9B"/>
    <w:rsid w:val="00657B4B"/>
    <w:rsid w:val="00666C24"/>
    <w:rsid w:val="006706D6"/>
    <w:rsid w:val="00672A2B"/>
    <w:rsid w:val="00686401"/>
    <w:rsid w:val="006C00D9"/>
    <w:rsid w:val="006C581F"/>
    <w:rsid w:val="006D233A"/>
    <w:rsid w:val="006E6E9A"/>
    <w:rsid w:val="00701D70"/>
    <w:rsid w:val="00703974"/>
    <w:rsid w:val="00703CE1"/>
    <w:rsid w:val="00703EB1"/>
    <w:rsid w:val="00736952"/>
    <w:rsid w:val="007526E8"/>
    <w:rsid w:val="00760166"/>
    <w:rsid w:val="00761361"/>
    <w:rsid w:val="007653F2"/>
    <w:rsid w:val="007737FE"/>
    <w:rsid w:val="00781E5C"/>
    <w:rsid w:val="007B0D31"/>
    <w:rsid w:val="007B2432"/>
    <w:rsid w:val="007D1310"/>
    <w:rsid w:val="007D3DBE"/>
    <w:rsid w:val="007E12C5"/>
    <w:rsid w:val="007E72B8"/>
    <w:rsid w:val="008070E6"/>
    <w:rsid w:val="008143D9"/>
    <w:rsid w:val="0083503A"/>
    <w:rsid w:val="008455F3"/>
    <w:rsid w:val="0084681A"/>
    <w:rsid w:val="0086086C"/>
    <w:rsid w:val="00872F32"/>
    <w:rsid w:val="00875CAF"/>
    <w:rsid w:val="00894E8F"/>
    <w:rsid w:val="008952BD"/>
    <w:rsid w:val="00897AAF"/>
    <w:rsid w:val="008A0983"/>
    <w:rsid w:val="008A2FB1"/>
    <w:rsid w:val="008C0483"/>
    <w:rsid w:val="008C685E"/>
    <w:rsid w:val="008C6BB8"/>
    <w:rsid w:val="008D5AF5"/>
    <w:rsid w:val="008D64DD"/>
    <w:rsid w:val="008E478F"/>
    <w:rsid w:val="008F42A6"/>
    <w:rsid w:val="00900F8B"/>
    <w:rsid w:val="00902446"/>
    <w:rsid w:val="00906F32"/>
    <w:rsid w:val="009243D5"/>
    <w:rsid w:val="00924AB4"/>
    <w:rsid w:val="0092528B"/>
    <w:rsid w:val="009267A5"/>
    <w:rsid w:val="00932B11"/>
    <w:rsid w:val="00933059"/>
    <w:rsid w:val="009635CF"/>
    <w:rsid w:val="00964660"/>
    <w:rsid w:val="00967104"/>
    <w:rsid w:val="00977501"/>
    <w:rsid w:val="00994728"/>
    <w:rsid w:val="009A2DA9"/>
    <w:rsid w:val="009A2FBC"/>
    <w:rsid w:val="009C1881"/>
    <w:rsid w:val="009C20FC"/>
    <w:rsid w:val="009D43B8"/>
    <w:rsid w:val="009E6305"/>
    <w:rsid w:val="009E7E72"/>
    <w:rsid w:val="00A07716"/>
    <w:rsid w:val="00A16B0B"/>
    <w:rsid w:val="00A32B97"/>
    <w:rsid w:val="00A418E6"/>
    <w:rsid w:val="00A730F2"/>
    <w:rsid w:val="00A73170"/>
    <w:rsid w:val="00A73B55"/>
    <w:rsid w:val="00A73BCE"/>
    <w:rsid w:val="00A74803"/>
    <w:rsid w:val="00A74B7D"/>
    <w:rsid w:val="00A91890"/>
    <w:rsid w:val="00AA1612"/>
    <w:rsid w:val="00AA30B7"/>
    <w:rsid w:val="00AA7D19"/>
    <w:rsid w:val="00AB5BBF"/>
    <w:rsid w:val="00AC10F2"/>
    <w:rsid w:val="00AC740D"/>
    <w:rsid w:val="00AE42A9"/>
    <w:rsid w:val="00AE66C4"/>
    <w:rsid w:val="00AF5592"/>
    <w:rsid w:val="00AF6E1B"/>
    <w:rsid w:val="00B06DE7"/>
    <w:rsid w:val="00B16FE4"/>
    <w:rsid w:val="00B31E9A"/>
    <w:rsid w:val="00B375CF"/>
    <w:rsid w:val="00B612A2"/>
    <w:rsid w:val="00B76AC7"/>
    <w:rsid w:val="00B80EFD"/>
    <w:rsid w:val="00B8584A"/>
    <w:rsid w:val="00BA7E1F"/>
    <w:rsid w:val="00BD4E83"/>
    <w:rsid w:val="00BD7F45"/>
    <w:rsid w:val="00BE461B"/>
    <w:rsid w:val="00C05AF8"/>
    <w:rsid w:val="00C10265"/>
    <w:rsid w:val="00C16CF7"/>
    <w:rsid w:val="00C22E61"/>
    <w:rsid w:val="00C32179"/>
    <w:rsid w:val="00C43EA8"/>
    <w:rsid w:val="00C5275C"/>
    <w:rsid w:val="00C5398A"/>
    <w:rsid w:val="00C629AC"/>
    <w:rsid w:val="00C744EC"/>
    <w:rsid w:val="00C956DF"/>
    <w:rsid w:val="00CA3D22"/>
    <w:rsid w:val="00CA41DF"/>
    <w:rsid w:val="00CB6F6F"/>
    <w:rsid w:val="00CE53CE"/>
    <w:rsid w:val="00CF5B33"/>
    <w:rsid w:val="00CF6143"/>
    <w:rsid w:val="00D254A7"/>
    <w:rsid w:val="00D275EE"/>
    <w:rsid w:val="00D41DA0"/>
    <w:rsid w:val="00D62ED9"/>
    <w:rsid w:val="00D66E68"/>
    <w:rsid w:val="00D757A5"/>
    <w:rsid w:val="00D800D8"/>
    <w:rsid w:val="00D957EF"/>
    <w:rsid w:val="00D97AA9"/>
    <w:rsid w:val="00DA3E28"/>
    <w:rsid w:val="00DB4C01"/>
    <w:rsid w:val="00DB7FC4"/>
    <w:rsid w:val="00DF0E61"/>
    <w:rsid w:val="00DF27F7"/>
    <w:rsid w:val="00DF346C"/>
    <w:rsid w:val="00DF6596"/>
    <w:rsid w:val="00E01F33"/>
    <w:rsid w:val="00E03547"/>
    <w:rsid w:val="00E148CC"/>
    <w:rsid w:val="00E34281"/>
    <w:rsid w:val="00E379EE"/>
    <w:rsid w:val="00E46238"/>
    <w:rsid w:val="00E50E57"/>
    <w:rsid w:val="00E526E7"/>
    <w:rsid w:val="00E72895"/>
    <w:rsid w:val="00E8619B"/>
    <w:rsid w:val="00ED41BA"/>
    <w:rsid w:val="00EE42AB"/>
    <w:rsid w:val="00EE625D"/>
    <w:rsid w:val="00EF1A76"/>
    <w:rsid w:val="00F021E6"/>
    <w:rsid w:val="00F052C0"/>
    <w:rsid w:val="00F20E97"/>
    <w:rsid w:val="00F36ABF"/>
    <w:rsid w:val="00F37EF9"/>
    <w:rsid w:val="00F5538F"/>
    <w:rsid w:val="00FA08FD"/>
    <w:rsid w:val="00FA3A78"/>
    <w:rsid w:val="00FA43B1"/>
    <w:rsid w:val="00FB7C5D"/>
    <w:rsid w:val="00FD04A9"/>
    <w:rsid w:val="00FD2A64"/>
    <w:rsid w:val="00FD5A47"/>
    <w:rsid w:val="00FE642A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paragraph" w:styleId="Textbubliny">
    <w:name w:val="Balloon Text"/>
    <w:basedOn w:val="Normln"/>
    <w:semiHidden/>
    <w:rsid w:val="00C102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A43B1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paragraph"/>
    <w:basedOn w:val="Normln"/>
    <w:uiPriority w:val="99"/>
    <w:semiHidden/>
    <w:rsid w:val="00FA43B1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FA43B1"/>
    <w:rPr>
      <w:b/>
      <w:bCs/>
    </w:rPr>
  </w:style>
  <w:style w:type="character" w:styleId="Zvraznn">
    <w:name w:val="Emphasis"/>
    <w:uiPriority w:val="20"/>
    <w:qFormat/>
    <w:rsid w:val="00FA43B1"/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4A34F8"/>
    <w:rPr>
      <w:i/>
    </w:rPr>
  </w:style>
  <w:style w:type="paragraph" w:styleId="Zkladntext">
    <w:name w:val="Body Text"/>
    <w:basedOn w:val="Normln"/>
    <w:link w:val="ZkladntextChar"/>
    <w:rsid w:val="00534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34C8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BA7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E1F"/>
    <w:rPr>
      <w:sz w:val="24"/>
      <w:szCs w:val="24"/>
    </w:rPr>
  </w:style>
  <w:style w:type="paragraph" w:styleId="Zpat">
    <w:name w:val="footer"/>
    <w:basedOn w:val="Normln"/>
    <w:link w:val="ZpatChar"/>
    <w:rsid w:val="00BA7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E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paragraph" w:styleId="Textbubliny">
    <w:name w:val="Balloon Text"/>
    <w:basedOn w:val="Normln"/>
    <w:semiHidden/>
    <w:rsid w:val="00C102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A43B1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paragraph"/>
    <w:basedOn w:val="Normln"/>
    <w:uiPriority w:val="99"/>
    <w:semiHidden/>
    <w:rsid w:val="00FA43B1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FA43B1"/>
    <w:rPr>
      <w:b/>
      <w:bCs/>
    </w:rPr>
  </w:style>
  <w:style w:type="character" w:styleId="Zvraznn">
    <w:name w:val="Emphasis"/>
    <w:uiPriority w:val="20"/>
    <w:qFormat/>
    <w:rsid w:val="00FA43B1"/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4A34F8"/>
    <w:rPr>
      <w:i/>
    </w:rPr>
  </w:style>
  <w:style w:type="paragraph" w:styleId="Zkladntext">
    <w:name w:val="Body Text"/>
    <w:basedOn w:val="Normln"/>
    <w:link w:val="ZkladntextChar"/>
    <w:rsid w:val="00534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34C8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BA7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E1F"/>
    <w:rPr>
      <w:sz w:val="24"/>
      <w:szCs w:val="24"/>
    </w:rPr>
  </w:style>
  <w:style w:type="paragraph" w:styleId="Zpat">
    <w:name w:val="footer"/>
    <w:basedOn w:val="Normln"/>
    <w:link w:val="ZpatChar"/>
    <w:rsid w:val="00BA7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20\Rozpo&#269;et%202020\Rozbor%20p&#345;&#237;jm&#367;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20\Rozpo&#269;et%202020\Rozbor%20p&#345;&#237;jm&#367;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20\Rozpo&#269;et%202020\Rozbor%20p&#345;&#237;jm&#367;%20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yn&#269;lov&#225;\Documents\Rok%202019\Finance\Pln&#283;n&#237;%20da&#328;ov&#253;ch%20p&#345;&#237;jm&#367;%202016,2017,2018,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9\Finance\Pln&#283;n&#237;%20da&#328;ov&#253;ch%20p&#345;&#237;jm&#367;%202016,2017,2018,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9\Finance\Pln&#283;n&#237;%20da&#328;ov&#253;ch%20p&#345;&#237;jm&#367;%202016,2017,2018,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9\Finance\Pln&#283;n&#237;%20da&#328;ov&#253;ch%20p&#345;&#237;jm&#367;%202016,2017,2018,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9\Finance\Pln&#283;n&#237;%20da&#328;ov&#253;ch%20p&#345;&#237;jm&#367;%202016,2017,2018,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Příjmy ze sdílených a výlučných daní 
 v letech 2004 - 2020</a:t>
            </a:r>
          </a:p>
        </c:rich>
      </c:tx>
      <c:layout>
        <c:manualLayout>
          <c:xMode val="edge"/>
          <c:yMode val="edge"/>
          <c:x val="0.2302262612430363"/>
          <c:y val="1.538457439013016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8522676324642183E-2"/>
          <c:y val="0.13987974767694375"/>
          <c:w val="0.87853228522836835"/>
          <c:h val="0.75042860314603888"/>
        </c:manualLayout>
      </c:layout>
      <c:lineChart>
        <c:grouping val="stacked"/>
        <c:varyColors val="0"/>
        <c:ser>
          <c:idx val="0"/>
          <c:order val="0"/>
          <c:tx>
            <c:strRef>
              <c:f>'příjem z daní'!$AA$35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817333816335659E-2"/>
                  <c:y val="-5.70802874502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864758505977266E-2"/>
                  <c:y val="-3.4414733691283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35589770230634E-2"/>
                  <c:y val="-6.1524367568458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32032063185746E-2"/>
                  <c:y val="-4.1178659774127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379709453314382E-2"/>
                  <c:y val="-3.5740304035599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25479171081271E-2"/>
                  <c:y val="-5.8435081709420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2539642145115522E-2"/>
                  <c:y val="-3.7892186553603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3783371518989964E-2"/>
                  <c:y val="3.0672910726684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084681114465372E-2"/>
                  <c:y val="-5.0346092525236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512201785053546E-2"/>
                  <c:y val="-2.5673465943660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3949007362222016E-2"/>
                  <c:y val="-2.1532790634673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9179295663811094E-2"/>
                  <c:y val="-3.3241839141589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8690810881841351E-2"/>
                  <c:y val="-4.526515403848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4.8210934313394849E-2"/>
                  <c:y val="-4.8508175055281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6.3944845657755933E-2"/>
                  <c:y val="-3.7896519970650945E-2"/>
                </c:manualLayout>
              </c:layout>
              <c:spPr>
                <a:solidFill>
                  <a:schemeClr val="bg1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5.5089123599595405E-2"/>
                  <c:y val="-3.4188092559858586E-2"/>
                </c:manualLayout>
              </c:layout>
              <c:spPr>
                <a:solidFill>
                  <a:schemeClr val="bg1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018616979808217E-2"/>
                  <c:y val="-3.4961433392254541E-2"/>
                </c:manualLayout>
              </c:layout>
              <c:spPr>
                <a:solidFill>
                  <a:srgbClr val="FFFF00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'příjem z daní'!$C$3:$U$3</c:f>
              <c:strCach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R 2020</c:v>
                </c:pt>
              </c:strCache>
            </c:strRef>
          </c:cat>
          <c:val>
            <c:numRef>
              <c:f>'příjem z daní'!$C$10:$U$10</c:f>
              <c:numCache>
                <c:formatCode>#,##0</c:formatCode>
                <c:ptCount val="17"/>
                <c:pt idx="0">
                  <c:v>38484</c:v>
                </c:pt>
                <c:pt idx="1">
                  <c:v>42398.241999999998</c:v>
                </c:pt>
                <c:pt idx="2">
                  <c:v>41832</c:v>
                </c:pt>
                <c:pt idx="3">
                  <c:v>44396.766989999996</c:v>
                </c:pt>
                <c:pt idx="4">
                  <c:v>49218</c:v>
                </c:pt>
                <c:pt idx="5">
                  <c:v>40252</c:v>
                </c:pt>
                <c:pt idx="6">
                  <c:v>42974</c:v>
                </c:pt>
                <c:pt idx="7">
                  <c:v>42809</c:v>
                </c:pt>
                <c:pt idx="8">
                  <c:v>43330.958019999998</c:v>
                </c:pt>
                <c:pt idx="9">
                  <c:v>56592</c:v>
                </c:pt>
                <c:pt idx="10">
                  <c:v>61084</c:v>
                </c:pt>
                <c:pt idx="11">
                  <c:v>61439</c:v>
                </c:pt>
                <c:pt idx="12">
                  <c:v>66132</c:v>
                </c:pt>
                <c:pt idx="13">
                  <c:v>70933</c:v>
                </c:pt>
                <c:pt idx="14">
                  <c:v>79178</c:v>
                </c:pt>
                <c:pt idx="15">
                  <c:v>84835.309699999998</c:v>
                </c:pt>
                <c:pt idx="16">
                  <c:v>84200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068672"/>
        <c:axId val="131070592"/>
      </c:lineChart>
      <c:catAx>
        <c:axId val="131068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/>
                  <a:t>rok</a:t>
                </a:r>
              </a:p>
            </c:rich>
          </c:tx>
          <c:layout>
            <c:manualLayout>
              <c:xMode val="edge"/>
              <c:yMode val="edge"/>
              <c:x val="0.51271261052842709"/>
              <c:y val="0.93675366721291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070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070592"/>
        <c:scaling>
          <c:orientation val="minMax"/>
          <c:max val="90000"/>
          <c:min val="35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900"/>
                  <a:t>tis. Kč</a:t>
                </a:r>
              </a:p>
            </c:rich>
          </c:tx>
          <c:layout>
            <c:manualLayout>
              <c:xMode val="edge"/>
              <c:yMode val="edge"/>
              <c:x val="5.5837249592812756E-2"/>
              <c:y val="4.3499384911911389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068672"/>
        <c:crosses val="autoZero"/>
        <c:crossBetween val="between"/>
        <c:majorUnit val="5000"/>
        <c:minorUnit val="400"/>
      </c:valAx>
      <c:spPr>
        <a:solidFill>
          <a:srgbClr val="CCFFCC"/>
        </a:solidFill>
        <a:ln w="3175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solidFill>
      <a:srgbClr val="CC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en-US" sz="1200"/>
              <a:t>Počet obyvatel</a:t>
            </a:r>
            <a:r>
              <a:rPr lang="cs-CZ" sz="1200"/>
              <a:t>  Jilemnice v letech 2004-2019 </a:t>
            </a:r>
            <a:endParaRPr lang="en-US" sz="1200"/>
          </a:p>
        </c:rich>
      </c:tx>
      <c:layout>
        <c:manualLayout>
          <c:xMode val="edge"/>
          <c:yMode val="edge"/>
          <c:x val="0.20386844103950541"/>
          <c:y val="4.84704610434861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573368052313623E-2"/>
          <c:y val="0.14488277797762589"/>
          <c:w val="0.87853228522836835"/>
          <c:h val="0.75042860314603888"/>
        </c:manualLayout>
      </c:layout>
      <c:lineChart>
        <c:grouping val="stacked"/>
        <c:varyColors val="0"/>
        <c:ser>
          <c:idx val="0"/>
          <c:order val="0"/>
          <c:tx>
            <c:strRef>
              <c:f>obyvatelé!$AB$31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817333816335659E-2"/>
                  <c:y val="-5.70802874502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864758505977266E-2"/>
                  <c:y val="-3.4414733691283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850574021758731E-2"/>
                  <c:y val="-7.0071337236691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32032063185746E-2"/>
                  <c:y val="-4.1178659774127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379709453314382E-2"/>
                  <c:y val="-3.5740304035599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25479171081271E-2"/>
                  <c:y val="-5.8435081709420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008354686889435E-2"/>
                  <c:y val="-3.7892268542574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057241890565206E-2"/>
                  <c:y val="-7.355878592099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084681114465372E-2"/>
                  <c:y val="-5.0346092525236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512201785053546E-2"/>
                  <c:y val="-2.5673465943660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4962627582481862E-2"/>
                  <c:y val="-2.153274930689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3824407445252553E-2"/>
                  <c:y val="3.9442313300581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8690810881841351E-2"/>
                  <c:y val="-4.526515403848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4.8210934313394849E-2"/>
                  <c:y val="-4.8508175055281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4.0553013877217915E-2"/>
                  <c:y val="-3.789635432626758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7970495782888929E-2"/>
                  <c:y val="-3.4188061517691E-2"/>
                </c:manualLayout>
              </c:layout>
              <c:spPr>
                <a:solidFill>
                  <a:schemeClr val="bg1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8106995884773661E-2"/>
                  <c:y val="3.6467236467236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obyvatelé!$F$3:$U$3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obyvatelé!$F$4:$U$4</c:f>
              <c:numCache>
                <c:formatCode>#,##0</c:formatCode>
                <c:ptCount val="16"/>
                <c:pt idx="0">
                  <c:v>5783</c:v>
                </c:pt>
                <c:pt idx="1">
                  <c:v>5774</c:v>
                </c:pt>
                <c:pt idx="2">
                  <c:v>5770</c:v>
                </c:pt>
                <c:pt idx="3">
                  <c:v>5710</c:v>
                </c:pt>
                <c:pt idx="4">
                  <c:v>5731</c:v>
                </c:pt>
                <c:pt idx="5">
                  <c:v>5715</c:v>
                </c:pt>
                <c:pt idx="6">
                  <c:v>5681</c:v>
                </c:pt>
                <c:pt idx="7">
                  <c:v>5685</c:v>
                </c:pt>
                <c:pt idx="8">
                  <c:v>5604</c:v>
                </c:pt>
                <c:pt idx="9">
                  <c:v>5616</c:v>
                </c:pt>
                <c:pt idx="10">
                  <c:v>5596</c:v>
                </c:pt>
                <c:pt idx="11">
                  <c:v>5499</c:v>
                </c:pt>
                <c:pt idx="12">
                  <c:v>5515</c:v>
                </c:pt>
                <c:pt idx="13">
                  <c:v>5470</c:v>
                </c:pt>
                <c:pt idx="14">
                  <c:v>5410</c:v>
                </c:pt>
                <c:pt idx="15">
                  <c:v>5391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obyvatelé!$B$5</c:f>
              <c:strCache>
                <c:ptCount val="1"/>
                <c:pt idx="0">
                  <c:v>počet žáků</c:v>
                </c:pt>
              </c:strCache>
            </c:strRef>
          </c:tx>
          <c:cat>
            <c:numRef>
              <c:f>obyvatelé!$F$3:$U$3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obyvatelé!$O$5:$T$5</c:f>
              <c:numCache>
                <c:formatCode>#,##0</c:formatCode>
                <c:ptCount val="6"/>
                <c:pt idx="0">
                  <c:v>953</c:v>
                </c:pt>
                <c:pt idx="1">
                  <c:v>967</c:v>
                </c:pt>
                <c:pt idx="2">
                  <c:v>944</c:v>
                </c:pt>
                <c:pt idx="3">
                  <c:v>933</c:v>
                </c:pt>
                <c:pt idx="4">
                  <c:v>956</c:v>
                </c:pt>
                <c:pt idx="5">
                  <c:v>937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obyvatelé!$B$5</c:f>
              <c:strCache>
                <c:ptCount val="1"/>
                <c:pt idx="0">
                  <c:v>počet žáků</c:v>
                </c:pt>
              </c:strCache>
            </c:strRef>
          </c:tx>
          <c:cat>
            <c:numRef>
              <c:f>obyvatelé!$F$3:$U$3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obyvatelé!$O$5:$T$5</c:f>
              <c:numCache>
                <c:formatCode>#,##0</c:formatCode>
                <c:ptCount val="6"/>
                <c:pt idx="0">
                  <c:v>953</c:v>
                </c:pt>
                <c:pt idx="1">
                  <c:v>967</c:v>
                </c:pt>
                <c:pt idx="2">
                  <c:v>944</c:v>
                </c:pt>
                <c:pt idx="3">
                  <c:v>933</c:v>
                </c:pt>
                <c:pt idx="4">
                  <c:v>956</c:v>
                </c:pt>
                <c:pt idx="5">
                  <c:v>937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446272"/>
        <c:axId val="131448192"/>
      </c:lineChart>
      <c:catAx>
        <c:axId val="131446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/>
                  <a:t>rok</a:t>
                </a:r>
              </a:p>
            </c:rich>
          </c:tx>
          <c:layout>
            <c:manualLayout>
              <c:xMode val="edge"/>
              <c:yMode val="edge"/>
              <c:x val="0.51271261052842709"/>
              <c:y val="0.93675366721291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448192"/>
        <c:crosses val="autoZero"/>
        <c:auto val="1"/>
        <c:lblAlgn val="ctr"/>
        <c:lblOffset val="100"/>
        <c:noMultiLvlLbl val="0"/>
      </c:catAx>
      <c:valAx>
        <c:axId val="131448192"/>
        <c:scaling>
          <c:orientation val="minMax"/>
          <c:max val="5900"/>
          <c:min val="53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446272"/>
        <c:crosses val="autoZero"/>
        <c:crossBetween val="between"/>
        <c:majorUnit val="100"/>
      </c:valAx>
      <c:spPr>
        <a:solidFill>
          <a:srgbClr val="CCFFCC"/>
        </a:solidFill>
        <a:ln w="3175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solidFill>
      <a:srgbClr val="CC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en-US" sz="1200"/>
              <a:t>Počet </a:t>
            </a:r>
            <a:r>
              <a:rPr lang="cs-CZ" sz="1200"/>
              <a:t>žáků v letech 2013 - 2020 </a:t>
            </a:r>
            <a:r>
              <a:rPr lang="cs-CZ" sz="1000"/>
              <a:t>(od zařazení parametru do RUD)</a:t>
            </a:r>
            <a:endParaRPr lang="en-US" sz="1000"/>
          </a:p>
        </c:rich>
      </c:tx>
      <c:layout>
        <c:manualLayout>
          <c:xMode val="edge"/>
          <c:yMode val="edge"/>
          <c:x val="0.11905805252604292"/>
          <c:y val="4.335665396708550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573368052313623E-2"/>
          <c:y val="0.14488277797762589"/>
          <c:w val="0.87853228522836835"/>
          <c:h val="0.75042860314603888"/>
        </c:manualLayout>
      </c:layout>
      <c:lineChart>
        <c:grouping val="stacked"/>
        <c:varyColors val="0"/>
        <c:ser>
          <c:idx val="0"/>
          <c:order val="0"/>
          <c:tx>
            <c:strRef>
              <c:f>obyvatelé!$B$5</c:f>
              <c:strCache>
                <c:ptCount val="1"/>
                <c:pt idx="0">
                  <c:v>počet žáků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817333816335659E-2"/>
                  <c:y val="-5.70802874502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864758505977266E-2"/>
                  <c:y val="-3.4414733691283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35589770230634E-2"/>
                  <c:y val="-6.1524367568458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32032063185746E-2"/>
                  <c:y val="-4.1178659774127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379709453314382E-2"/>
                  <c:y val="-3.5740304035599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25479171081271E-2"/>
                  <c:y val="-5.8435081709420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008354686889435E-2"/>
                  <c:y val="-3.7892268542574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9377893968787496E-2"/>
                  <c:y val="-3.9370789311234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084681114465372E-2"/>
                  <c:y val="-5.0346092525236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512201785053546E-2"/>
                  <c:y val="-2.5673465943660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4962627582481862E-2"/>
                  <c:y val="-2.153274930689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6216288181368627E-2"/>
                  <c:y val="-2.3235674220925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8690810881841351E-2"/>
                  <c:y val="-4.526515403848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4.8210934313394849E-2"/>
                  <c:y val="-4.8508175055281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4.0553013877217915E-2"/>
                  <c:y val="-3.7896354326267589E-2"/>
                </c:manualLayout>
              </c:layout>
              <c:spPr>
                <a:solidFill>
                  <a:schemeClr val="bg1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7970495782888929E-2"/>
                  <c:y val="-3.4188061517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8106995884773661E-2"/>
                  <c:y val="3.6467236467236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obyvatelé!$O$3:$V$3</c:f>
              <c:numCache>
                <c:formatCode>General</c:formatCod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</c:numCache>
            </c:numRef>
          </c:cat>
          <c:val>
            <c:numRef>
              <c:f>obyvatelé!$O$5:$V$5</c:f>
              <c:numCache>
                <c:formatCode>#,##0</c:formatCode>
                <c:ptCount val="8"/>
                <c:pt idx="0">
                  <c:v>953</c:v>
                </c:pt>
                <c:pt idx="1">
                  <c:v>967</c:v>
                </c:pt>
                <c:pt idx="2">
                  <c:v>944</c:v>
                </c:pt>
                <c:pt idx="3">
                  <c:v>933</c:v>
                </c:pt>
                <c:pt idx="4">
                  <c:v>956</c:v>
                </c:pt>
                <c:pt idx="5">
                  <c:v>937</c:v>
                </c:pt>
                <c:pt idx="6" formatCode="General">
                  <c:v>881</c:v>
                </c:pt>
                <c:pt idx="7" formatCode="General">
                  <c:v>910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567616"/>
        <c:axId val="131569536"/>
      </c:lineChart>
      <c:catAx>
        <c:axId val="131567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/>
                  <a:t>rok</a:t>
                </a:r>
              </a:p>
            </c:rich>
          </c:tx>
          <c:layout>
            <c:manualLayout>
              <c:xMode val="edge"/>
              <c:yMode val="edge"/>
              <c:x val="0.51271261052842709"/>
              <c:y val="0.93675366721291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569536"/>
        <c:crosses val="autoZero"/>
        <c:auto val="1"/>
        <c:lblAlgn val="ctr"/>
        <c:lblOffset val="100"/>
        <c:noMultiLvlLbl val="0"/>
      </c:catAx>
      <c:valAx>
        <c:axId val="131569536"/>
        <c:scaling>
          <c:orientation val="minMax"/>
          <c:max val="980"/>
          <c:min val="86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31567616"/>
        <c:crosses val="autoZero"/>
        <c:crossBetween val="between"/>
      </c:valAx>
      <c:spPr>
        <a:solidFill>
          <a:srgbClr val="CCFFCC"/>
        </a:solidFill>
        <a:ln w="3175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solidFill>
      <a:srgbClr val="CC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Daňové příjmy v roce 2019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21996007405151E-2"/>
          <c:y val="8.5218702865761692E-2"/>
          <c:w val="0.79926478919340826"/>
          <c:h val="0.80467666654790326"/>
        </c:manualLayout>
      </c:layout>
      <c:barChart>
        <c:barDir val="col"/>
        <c:grouping val="clustered"/>
        <c:varyColors val="0"/>
        <c:ser>
          <c:idx val="1"/>
          <c:order val="0"/>
          <c:tx>
            <c:v>Rozpočet 2019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'2019'!$B$96:$M$96</c:f>
              <c:numCache>
                <c:formatCode>#,##0</c:formatCode>
                <c:ptCount val="12"/>
                <c:pt idx="0">
                  <c:v>6674.9999999999991</c:v>
                </c:pt>
                <c:pt idx="1">
                  <c:v>13349.999999999998</c:v>
                </c:pt>
                <c:pt idx="2">
                  <c:v>20025</c:v>
                </c:pt>
                <c:pt idx="3">
                  <c:v>26699.999999999996</c:v>
                </c:pt>
                <c:pt idx="4">
                  <c:v>33375</c:v>
                </c:pt>
                <c:pt idx="5">
                  <c:v>40050</c:v>
                </c:pt>
                <c:pt idx="6">
                  <c:v>46725.000000000007</c:v>
                </c:pt>
                <c:pt idx="7">
                  <c:v>53400</c:v>
                </c:pt>
                <c:pt idx="8">
                  <c:v>60075</c:v>
                </c:pt>
                <c:pt idx="9">
                  <c:v>66750</c:v>
                </c:pt>
                <c:pt idx="10">
                  <c:v>73425.000000000015</c:v>
                </c:pt>
                <c:pt idx="11">
                  <c:v>80100</c:v>
                </c:pt>
              </c:numCache>
            </c:numRef>
          </c:val>
        </c:ser>
        <c:ser>
          <c:idx val="0"/>
          <c:order val="1"/>
          <c:tx>
            <c:v>Plnění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'2019'!$B$105:$M$105</c:f>
              <c:numCache>
                <c:formatCode>#,##0</c:formatCode>
                <c:ptCount val="12"/>
                <c:pt idx="0">
                  <c:v>6694.3017600000012</c:v>
                </c:pt>
                <c:pt idx="1">
                  <c:v>12907.686229999999</c:v>
                </c:pt>
                <c:pt idx="2">
                  <c:v>19449.524950000003</c:v>
                </c:pt>
                <c:pt idx="3">
                  <c:v>24426.233899999999</c:v>
                </c:pt>
                <c:pt idx="4">
                  <c:v>30391.776540000003</c:v>
                </c:pt>
                <c:pt idx="5">
                  <c:v>40502.112709999994</c:v>
                </c:pt>
                <c:pt idx="6">
                  <c:v>49760.699239999994</c:v>
                </c:pt>
                <c:pt idx="7">
                  <c:v>55981.619139999995</c:v>
                </c:pt>
                <c:pt idx="8">
                  <c:v>62031.395430000004</c:v>
                </c:pt>
                <c:pt idx="9">
                  <c:v>68200.022239999991</c:v>
                </c:pt>
                <c:pt idx="10">
                  <c:v>74666.135039999994</c:v>
                </c:pt>
                <c:pt idx="11">
                  <c:v>84835.359699999986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11168"/>
        <c:axId val="132712704"/>
      </c:barChart>
      <c:lineChart>
        <c:grouping val="standard"/>
        <c:varyColors val="0"/>
        <c:ser>
          <c:idx val="2"/>
          <c:order val="2"/>
          <c:tx>
            <c:v>Rozdíl</c:v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8"/>
              <c:layout>
                <c:manualLayout>
                  <c:x val="-3.8090901620722824E-2"/>
                  <c:y val="-2.8363321100699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5457384125326877E-2"/>
                  <c:y val="-2.8363321100699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8090901620722824E-2"/>
                  <c:y val="-3.741309485635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5.733226269090793E-2"/>
                  <c:y val="-1.5628920824358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_ ;[Red]\-#,##0\ 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cs-CZ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'2019'!$B$106:$M$106</c:f>
              <c:numCache>
                <c:formatCode>#,##0</c:formatCode>
                <c:ptCount val="12"/>
                <c:pt idx="0">
                  <c:v>19.301760000002105</c:v>
                </c:pt>
                <c:pt idx="1">
                  <c:v>-442.31376999999884</c:v>
                </c:pt>
                <c:pt idx="2">
                  <c:v>-575.47504999999728</c:v>
                </c:pt>
                <c:pt idx="3">
                  <c:v>-2273.7660999999971</c:v>
                </c:pt>
                <c:pt idx="4">
                  <c:v>-2983.2234599999974</c:v>
                </c:pt>
                <c:pt idx="5">
                  <c:v>452.11270999999397</c:v>
                </c:pt>
                <c:pt idx="6">
                  <c:v>3035.6992399999872</c:v>
                </c:pt>
                <c:pt idx="7">
                  <c:v>2581.6191399999952</c:v>
                </c:pt>
                <c:pt idx="8">
                  <c:v>1956.3954300000041</c:v>
                </c:pt>
                <c:pt idx="9">
                  <c:v>1450.0222399999911</c:v>
                </c:pt>
                <c:pt idx="10">
                  <c:v>1241.1350399999792</c:v>
                </c:pt>
                <c:pt idx="11">
                  <c:v>4735.3596999999863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739072"/>
        <c:axId val="132740608"/>
      </c:lineChart>
      <c:catAx>
        <c:axId val="1327111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327127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2712704"/>
        <c:scaling>
          <c:orientation val="minMax"/>
          <c:max val="90000"/>
          <c:min val="0"/>
        </c:scaling>
        <c:delete val="0"/>
        <c:axPos val="l"/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32711168"/>
        <c:crosses val="autoZero"/>
        <c:crossBetween val="between"/>
      </c:valAx>
      <c:catAx>
        <c:axId val="132739072"/>
        <c:scaling>
          <c:orientation val="minMax"/>
        </c:scaling>
        <c:delete val="1"/>
        <c:axPos val="b"/>
        <c:majorTickMark val="out"/>
        <c:minorTickMark val="none"/>
        <c:tickLblPos val="nextTo"/>
        <c:crossAx val="132740608"/>
        <c:crosses val="autoZero"/>
        <c:auto val="0"/>
        <c:lblAlgn val="ctr"/>
        <c:lblOffset val="100"/>
        <c:noMultiLvlLbl val="0"/>
      </c:catAx>
      <c:valAx>
        <c:axId val="132740608"/>
        <c:scaling>
          <c:orientation val="minMax"/>
          <c:max val="6000"/>
          <c:min val="-20000"/>
        </c:scaling>
        <c:delete val="0"/>
        <c:axPos val="r"/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32739072"/>
        <c:crosses val="max"/>
        <c:crossBetween val="between"/>
        <c:majorUnit val="2000"/>
      </c:valAx>
      <c:spPr>
        <a:solidFill>
          <a:srgbClr val="FFFF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7071861873619385"/>
          <c:y val="0.93966912506977351"/>
          <c:w val="0.44713814088156112"/>
          <c:h val="5.788054773696271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Plnění rozpočtu jednotlivých daní k 31.12.2019
</a:t>
            </a:r>
          </a:p>
        </c:rich>
      </c:tx>
      <c:layout>
        <c:manualLayout>
          <c:xMode val="edge"/>
          <c:yMode val="edge"/>
          <c:x val="0.1749543461763412"/>
          <c:y val="1.8726591760299626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53671882174948E-2"/>
          <c:y val="9.4961809549087256E-2"/>
          <c:w val="0.89318761004332492"/>
          <c:h val="0.82209888170587864"/>
        </c:manualLayout>
      </c:layout>
      <c:barChart>
        <c:barDir val="col"/>
        <c:grouping val="clustered"/>
        <c:varyColors val="0"/>
        <c:ser>
          <c:idx val="0"/>
          <c:order val="0"/>
          <c:tx>
            <c:v>Rozpočet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1058309674488698E-3"/>
                  <c:y val="-8.42765459173626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244751864580464E-2"/>
                  <c:y val="-2.28621703185978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571042569954999E-3"/>
                  <c:y val="-1.8297993649669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'2019'!$A$99:$A$104</c:f>
              <c:strCache>
                <c:ptCount val="6"/>
                <c:pt idx="0">
                  <c:v>závislá č.</c:v>
                </c:pt>
                <c:pt idx="1">
                  <c:v>FO z přiznání</c:v>
                </c:pt>
                <c:pt idx="2">
                  <c:v>srážková</c:v>
                </c:pt>
                <c:pt idx="3">
                  <c:v>právnické o.</c:v>
                </c:pt>
                <c:pt idx="4">
                  <c:v>DPH</c:v>
                </c:pt>
                <c:pt idx="5">
                  <c:v>nemovitost</c:v>
                </c:pt>
              </c:strCache>
            </c:strRef>
          </c:cat>
          <c:val>
            <c:numRef>
              <c:f>'2019'!$M$90:$M$95</c:f>
              <c:numCache>
                <c:formatCode>#,##0</c:formatCode>
                <c:ptCount val="6"/>
                <c:pt idx="0">
                  <c:v>20000</c:v>
                </c:pt>
                <c:pt idx="1">
                  <c:v>500.00000000000006</c:v>
                </c:pt>
                <c:pt idx="2">
                  <c:v>1599.9999999999998</c:v>
                </c:pt>
                <c:pt idx="3">
                  <c:v>16000.000000000002</c:v>
                </c:pt>
                <c:pt idx="4">
                  <c:v>38000</c:v>
                </c:pt>
                <c:pt idx="5">
                  <c:v>4000.0000000000005</c:v>
                </c:pt>
              </c:numCache>
            </c:numRef>
          </c:val>
        </c:ser>
        <c:ser>
          <c:idx val="1"/>
          <c:order val="1"/>
          <c:tx>
            <c:v>Plnění 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554941682013503E-3"/>
                  <c:y val="-1.4981273408239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78082214614902E-3"/>
                  <c:y val="-3.9454833364886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4918990277310195E-3"/>
                  <c:y val="-8.33523642561770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9571690279046612E-3"/>
                  <c:y val="-2.22253678964286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4554941682013503E-3"/>
                  <c:y val="-9.98751560549322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'2019'!$A$99:$A$104</c:f>
              <c:strCache>
                <c:ptCount val="6"/>
                <c:pt idx="0">
                  <c:v>závislá č.</c:v>
                </c:pt>
                <c:pt idx="1">
                  <c:v>FO z přiznání</c:v>
                </c:pt>
                <c:pt idx="2">
                  <c:v>srážková</c:v>
                </c:pt>
                <c:pt idx="3">
                  <c:v>právnické o.</c:v>
                </c:pt>
                <c:pt idx="4">
                  <c:v>DPH</c:v>
                </c:pt>
                <c:pt idx="5">
                  <c:v>nemovitost</c:v>
                </c:pt>
              </c:strCache>
            </c:strRef>
          </c:cat>
          <c:val>
            <c:numRef>
              <c:f>'2019'!$M$99:$M$104</c:f>
              <c:numCache>
                <c:formatCode>#,##0</c:formatCode>
                <c:ptCount val="6"/>
                <c:pt idx="0">
                  <c:v>21986.809799999999</c:v>
                </c:pt>
                <c:pt idx="1">
                  <c:v>550.98603000000003</c:v>
                </c:pt>
                <c:pt idx="2">
                  <c:v>1857.7305299999998</c:v>
                </c:pt>
                <c:pt idx="3">
                  <c:v>17306.296020000002</c:v>
                </c:pt>
                <c:pt idx="4">
                  <c:v>38968.52659999999</c:v>
                </c:pt>
                <c:pt idx="5">
                  <c:v>4165.0107200000011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853760"/>
        <c:axId val="132855296"/>
      </c:barChart>
      <c:catAx>
        <c:axId val="13285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2855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285529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3.3149171270718231E-2"/>
              <c:y val="1.872659176029962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2853760"/>
        <c:crosses val="autoZero"/>
        <c:crossBetween val="between"/>
        <c:majorUnit val="2000"/>
      </c:valAx>
      <c:spPr>
        <a:solidFill>
          <a:srgbClr val="FFFFC0"/>
        </a:solidFill>
        <a:ln w="12700">
          <a:solidFill>
            <a:srgbClr val="FFFFFF"/>
          </a:solidFill>
          <a:prstDash val="solid"/>
        </a:ln>
      </c:spPr>
    </c:plotArea>
    <c:legend>
      <c:legendPos val="t"/>
      <c:legendEntry>
        <c:idx val="0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35607352948284782"/>
          <c:y val="0.17533083645443195"/>
          <c:w val="0.28048626518370284"/>
          <c:h val="6.122130801065597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Daňové příjmy města v roce 2016,2017,2018,2019</a:t>
            </a:r>
          </a:p>
        </c:rich>
      </c:tx>
      <c:layout>
        <c:manualLayout>
          <c:xMode val="edge"/>
          <c:yMode val="edge"/>
          <c:x val="0.153272835576404"/>
          <c:y val="4.79451932915165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631545532712705"/>
          <c:y val="0.11452139225234489"/>
          <c:w val="0.67558049865700665"/>
          <c:h val="0.68845984520820946"/>
        </c:manualLayout>
      </c:layout>
      <c:barChart>
        <c:barDir val="col"/>
        <c:grouping val="clustered"/>
        <c:varyColors val="0"/>
        <c:ser>
          <c:idx val="0"/>
          <c:order val="0"/>
          <c:tx>
            <c:v>rok 2016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'2019'!$B$77:$M$77</c:f>
              <c:numCache>
                <c:formatCode>#,##0</c:formatCode>
                <c:ptCount val="12"/>
                <c:pt idx="0">
                  <c:v>4550.5299100000002</c:v>
                </c:pt>
                <c:pt idx="1">
                  <c:v>9380.85563</c:v>
                </c:pt>
                <c:pt idx="2">
                  <c:v>14139.399659999999</c:v>
                </c:pt>
                <c:pt idx="3">
                  <c:v>18153.989600000001</c:v>
                </c:pt>
                <c:pt idx="4">
                  <c:v>22163.661200000002</c:v>
                </c:pt>
                <c:pt idx="5">
                  <c:v>30712.082739999998</c:v>
                </c:pt>
                <c:pt idx="6">
                  <c:v>37719.945190000006</c:v>
                </c:pt>
                <c:pt idx="7">
                  <c:v>42431.816769999998</c:v>
                </c:pt>
                <c:pt idx="8">
                  <c:v>47966.313629999997</c:v>
                </c:pt>
                <c:pt idx="9">
                  <c:v>52614.873090000001</c:v>
                </c:pt>
                <c:pt idx="10">
                  <c:v>57446.46819</c:v>
                </c:pt>
                <c:pt idx="11">
                  <c:v>66132.434330000004</c:v>
                </c:pt>
              </c:numCache>
            </c:numRef>
          </c:val>
        </c:ser>
        <c:ser>
          <c:idx val="3"/>
          <c:order val="1"/>
          <c:tx>
            <c:v>rok 2017</c:v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'2019'!$B$58:$M$58</c:f>
              <c:numCache>
                <c:formatCode>#,##0</c:formatCode>
                <c:ptCount val="12"/>
                <c:pt idx="0">
                  <c:v>4862.5426100000004</c:v>
                </c:pt>
                <c:pt idx="1">
                  <c:v>10157.513629999999</c:v>
                </c:pt>
                <c:pt idx="2">
                  <c:v>15749.96415</c:v>
                </c:pt>
                <c:pt idx="3">
                  <c:v>19639.640430000003</c:v>
                </c:pt>
                <c:pt idx="4">
                  <c:v>24593.052940000005</c:v>
                </c:pt>
                <c:pt idx="5">
                  <c:v>33829.251690000005</c:v>
                </c:pt>
                <c:pt idx="6">
                  <c:v>41283.446300000003</c:v>
                </c:pt>
                <c:pt idx="7">
                  <c:v>46408.732550000001</c:v>
                </c:pt>
                <c:pt idx="8">
                  <c:v>51744.632880000012</c:v>
                </c:pt>
                <c:pt idx="9">
                  <c:v>56703.487190000007</c:v>
                </c:pt>
                <c:pt idx="10">
                  <c:v>62079.63192</c:v>
                </c:pt>
                <c:pt idx="11">
                  <c:v>70932.667530000006</c:v>
                </c:pt>
              </c:numCache>
            </c:numRef>
          </c:val>
        </c:ser>
        <c:ser>
          <c:idx val="1"/>
          <c:order val="2"/>
          <c:tx>
            <c:v>rok 2018</c:v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'2019'!$B$30:$M$30</c:f>
              <c:numCache>
                <c:formatCode>#,##0</c:formatCode>
                <c:ptCount val="12"/>
                <c:pt idx="0">
                  <c:v>5317.8977600000007</c:v>
                </c:pt>
                <c:pt idx="1">
                  <c:v>11571.81791</c:v>
                </c:pt>
                <c:pt idx="2">
                  <c:v>17994.357050000002</c:v>
                </c:pt>
                <c:pt idx="3">
                  <c:v>22506.044735300002</c:v>
                </c:pt>
                <c:pt idx="4">
                  <c:v>27907.753005300001</c:v>
                </c:pt>
                <c:pt idx="5">
                  <c:v>38173.439065300008</c:v>
                </c:pt>
                <c:pt idx="6">
                  <c:v>46292.678065300002</c:v>
                </c:pt>
                <c:pt idx="7">
                  <c:v>52407.222165300002</c:v>
                </c:pt>
                <c:pt idx="8">
                  <c:v>57560.3925953</c:v>
                </c:pt>
                <c:pt idx="9">
                  <c:v>63654.405995299996</c:v>
                </c:pt>
                <c:pt idx="10">
                  <c:v>69832.617135299995</c:v>
                </c:pt>
                <c:pt idx="11">
                  <c:v>79177.601145299996</c:v>
                </c:pt>
              </c:numCache>
            </c:numRef>
          </c:val>
        </c:ser>
        <c:ser>
          <c:idx val="2"/>
          <c:order val="3"/>
          <c:tx>
            <c:v>rok 2019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'2019'!$B$11:$M$11</c:f>
              <c:numCache>
                <c:formatCode>#,##0</c:formatCode>
                <c:ptCount val="12"/>
                <c:pt idx="0">
                  <c:v>6694.3017600000012</c:v>
                </c:pt>
                <c:pt idx="1">
                  <c:v>12907.686229999999</c:v>
                </c:pt>
                <c:pt idx="2">
                  <c:v>19449.524950000003</c:v>
                </c:pt>
                <c:pt idx="3">
                  <c:v>24426.233899999999</c:v>
                </c:pt>
                <c:pt idx="4">
                  <c:v>30391.776540000003</c:v>
                </c:pt>
                <c:pt idx="5">
                  <c:v>40502.112709999994</c:v>
                </c:pt>
                <c:pt idx="6">
                  <c:v>49760.699239999994</c:v>
                </c:pt>
                <c:pt idx="7">
                  <c:v>55981.619139999995</c:v>
                </c:pt>
                <c:pt idx="8">
                  <c:v>62031.395430000004</c:v>
                </c:pt>
                <c:pt idx="9">
                  <c:v>68200.022239999991</c:v>
                </c:pt>
                <c:pt idx="10">
                  <c:v>74666.135039999994</c:v>
                </c:pt>
                <c:pt idx="11">
                  <c:v>84835.359699999986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953216"/>
        <c:axId val="132955136"/>
      </c:barChart>
      <c:catAx>
        <c:axId val="132953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měsíc</a:t>
                </a:r>
              </a:p>
            </c:rich>
          </c:tx>
          <c:layout>
            <c:manualLayout>
              <c:xMode val="edge"/>
              <c:yMode val="edge"/>
              <c:x val="0.49019701414328559"/>
              <c:y val="0.9109603422859813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29551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2955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tis.Kč</a:t>
                </a:r>
              </a:p>
            </c:rich>
          </c:tx>
          <c:layout>
            <c:manualLayout>
              <c:xMode val="edge"/>
              <c:yMode val="edge"/>
              <c:x val="3.7433155080213901E-2"/>
              <c:y val="0.4075349656635385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2953216"/>
        <c:crosses val="autoZero"/>
        <c:crossBetween val="between"/>
        <c:majorUnit val="10000"/>
        <c:minorUnit val="50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366557158022737"/>
          <c:y val="0.11643907525257972"/>
          <c:w val="0.15396010164011537"/>
          <c:h val="0.2260277568043720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cs-CZ" sz="1000" b="1" i="0" u="none" strike="noStrike" kern="1200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Srovnání měsíčních daňových příjmů za rok 2016,2017,2018,2019</a:t>
            </a:r>
          </a:p>
        </c:rich>
      </c:tx>
      <c:layout>
        <c:manualLayout>
          <c:xMode val="edge"/>
          <c:yMode val="edge"/>
          <c:x val="0.16785714285714284"/>
          <c:y val="1.908396946564885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"/>
          <c:y val="0.19847365233192005"/>
          <c:w val="0.68035714285714288"/>
          <c:h val="0.71755858920001858"/>
        </c:manualLayout>
      </c:layout>
      <c:barChart>
        <c:barDir val="col"/>
        <c:grouping val="clustered"/>
        <c:varyColors val="0"/>
        <c:ser>
          <c:idx val="0"/>
          <c:order val="0"/>
          <c:tx>
            <c:v>rok 2016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'2019'!$B$86:$M$86</c:f>
              <c:numCache>
                <c:formatCode>#,##0.0</c:formatCode>
                <c:ptCount val="12"/>
                <c:pt idx="0">
                  <c:v>4550.5299100000002</c:v>
                </c:pt>
                <c:pt idx="1">
                  <c:v>4830.3257199999998</c:v>
                </c:pt>
                <c:pt idx="2">
                  <c:v>4758.5440299999991</c:v>
                </c:pt>
                <c:pt idx="3">
                  <c:v>4014.5899400000008</c:v>
                </c:pt>
                <c:pt idx="4">
                  <c:v>4009.6715999999997</c:v>
                </c:pt>
                <c:pt idx="5">
                  <c:v>8548.4215399999994</c:v>
                </c:pt>
                <c:pt idx="6">
                  <c:v>7007.8624500000005</c:v>
                </c:pt>
                <c:pt idx="7">
                  <c:v>4711.8715799999973</c:v>
                </c:pt>
                <c:pt idx="8">
                  <c:v>5534.4968599999993</c:v>
                </c:pt>
                <c:pt idx="9">
                  <c:v>4648.5594600000031</c:v>
                </c:pt>
                <c:pt idx="10">
                  <c:v>4831.5950999999977</c:v>
                </c:pt>
                <c:pt idx="11">
                  <c:v>8685.9661400000005</c:v>
                </c:pt>
              </c:numCache>
            </c:numRef>
          </c:val>
        </c:ser>
        <c:ser>
          <c:idx val="3"/>
          <c:order val="1"/>
          <c:tx>
            <c:v>rok 2017</c:v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'2019'!$B$67:$M$67</c:f>
              <c:numCache>
                <c:formatCode>#,##0.0</c:formatCode>
                <c:ptCount val="12"/>
                <c:pt idx="0">
                  <c:v>4862.5426100000004</c:v>
                </c:pt>
                <c:pt idx="1">
                  <c:v>5294.9710200000009</c:v>
                </c:pt>
                <c:pt idx="2">
                  <c:v>5592.4505199999994</c:v>
                </c:pt>
                <c:pt idx="3">
                  <c:v>3889.6762799999992</c:v>
                </c:pt>
                <c:pt idx="4">
                  <c:v>4953.4125100000019</c:v>
                </c:pt>
                <c:pt idx="5">
                  <c:v>9236.1987499999996</c:v>
                </c:pt>
                <c:pt idx="6">
                  <c:v>7454.1946100000005</c:v>
                </c:pt>
                <c:pt idx="7">
                  <c:v>5125.2862500000001</c:v>
                </c:pt>
                <c:pt idx="8">
                  <c:v>5335.9003300000022</c:v>
                </c:pt>
                <c:pt idx="9">
                  <c:v>4958.854309999997</c:v>
                </c:pt>
                <c:pt idx="10">
                  <c:v>5376.1447299999991</c:v>
                </c:pt>
                <c:pt idx="11">
                  <c:v>8853.0356099999972</c:v>
                </c:pt>
              </c:numCache>
            </c:numRef>
          </c:val>
        </c:ser>
        <c:ser>
          <c:idx val="1"/>
          <c:order val="2"/>
          <c:tx>
            <c:v>rok 2018</c:v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'2019'!$B$39:$M$39</c:f>
              <c:numCache>
                <c:formatCode>#,##0.0</c:formatCode>
                <c:ptCount val="12"/>
                <c:pt idx="0">
                  <c:v>5317.8977600000007</c:v>
                </c:pt>
                <c:pt idx="1">
                  <c:v>6253.9201500000008</c:v>
                </c:pt>
                <c:pt idx="2">
                  <c:v>6422.5391399999999</c:v>
                </c:pt>
                <c:pt idx="3">
                  <c:v>4511.6876853000003</c:v>
                </c:pt>
                <c:pt idx="4">
                  <c:v>5401.708270000001</c:v>
                </c:pt>
                <c:pt idx="5">
                  <c:v>10265.686060000004</c:v>
                </c:pt>
                <c:pt idx="6">
                  <c:v>8119.2389999999978</c:v>
                </c:pt>
                <c:pt idx="7">
                  <c:v>6114.5440999999983</c:v>
                </c:pt>
                <c:pt idx="8">
                  <c:v>5153.1704300000001</c:v>
                </c:pt>
                <c:pt idx="9">
                  <c:v>6094.0133999999962</c:v>
                </c:pt>
                <c:pt idx="10">
                  <c:v>6178.2111399999958</c:v>
                </c:pt>
                <c:pt idx="11">
                  <c:v>9344.9840100000056</c:v>
                </c:pt>
              </c:numCache>
            </c:numRef>
          </c:val>
        </c:ser>
        <c:ser>
          <c:idx val="2"/>
          <c:order val="3"/>
          <c:tx>
            <c:v>rok 2019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'2019'!$B$20:$M$20</c:f>
              <c:numCache>
                <c:formatCode>#,##0.0</c:formatCode>
                <c:ptCount val="12"/>
                <c:pt idx="0">
                  <c:v>6694.3017600000012</c:v>
                </c:pt>
                <c:pt idx="1">
                  <c:v>6213.38447</c:v>
                </c:pt>
                <c:pt idx="2">
                  <c:v>6541.8387200000006</c:v>
                </c:pt>
                <c:pt idx="3">
                  <c:v>4976.7089500000002</c:v>
                </c:pt>
                <c:pt idx="4">
                  <c:v>5965.5426399999988</c:v>
                </c:pt>
                <c:pt idx="5">
                  <c:v>10110.336169999999</c:v>
                </c:pt>
                <c:pt idx="6">
                  <c:v>9258.5865300000023</c:v>
                </c:pt>
                <c:pt idx="7">
                  <c:v>6220.9199000000008</c:v>
                </c:pt>
                <c:pt idx="8">
                  <c:v>6049.7762900000034</c:v>
                </c:pt>
                <c:pt idx="9">
                  <c:v>6168.6268099999979</c:v>
                </c:pt>
                <c:pt idx="10">
                  <c:v>6466.1127999999935</c:v>
                </c:pt>
                <c:pt idx="11">
                  <c:v>10169.224659999996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3048192"/>
        <c:axId val="133070848"/>
      </c:barChart>
      <c:catAx>
        <c:axId val="133048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baseline="0"/>
                  <a:t>měsíc</a:t>
                </a:r>
              </a:p>
            </c:rich>
          </c:tx>
          <c:layout>
            <c:manualLayout>
              <c:xMode val="edge"/>
              <c:yMode val="edge"/>
              <c:x val="0.48035714285714287"/>
              <c:y val="0.8969481677385745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3070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070848"/>
        <c:scaling>
          <c:orientation val="minMax"/>
          <c:min val="-2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3.4523809523809526E-2"/>
              <c:y val="0.4465656869227224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3048192"/>
        <c:crosses val="autoZero"/>
        <c:crossBetween val="between"/>
        <c:majorUnit val="20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lang="cs-CZ" sz="1000" b="1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lang="cs-CZ" sz="1000" b="1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2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3"/>
        <c:txPr>
          <a:bodyPr/>
          <a:lstStyle/>
          <a:p>
            <a:pPr>
              <a:defRPr lang="cs-CZ" sz="1000" b="1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84047619047619049"/>
          <c:y val="0.20483460559796438"/>
          <c:w val="0.14821428571428574"/>
          <c:h val="0.2633591793392238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Rozdíly daňových příjmů  v roce 2019 proti roku 2018</a:t>
            </a:r>
          </a:p>
        </c:rich>
      </c:tx>
      <c:layout>
        <c:manualLayout>
          <c:xMode val="edge"/>
          <c:yMode val="edge"/>
          <c:x val="0.12432451348986781"/>
          <c:y val="1.87969924812030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7028918682462"/>
          <c:y val="0.14661654135338345"/>
          <c:w val="0.8180194573822096"/>
          <c:h val="0.69548872180451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'2019'!$A$42</c:f>
              <c:strCache>
                <c:ptCount val="1"/>
                <c:pt idx="0">
                  <c:v>měsíční přebytek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'2019'!$B$42:$M$42</c:f>
              <c:numCache>
                <c:formatCode>#,##0</c:formatCode>
                <c:ptCount val="12"/>
                <c:pt idx="0">
                  <c:v>1376.4040000000005</c:v>
                </c:pt>
                <c:pt idx="1">
                  <c:v>-40.535680000000866</c:v>
                </c:pt>
                <c:pt idx="2">
                  <c:v>119.29958000000079</c:v>
                </c:pt>
                <c:pt idx="3">
                  <c:v>465.02126469999985</c:v>
                </c:pt>
                <c:pt idx="4">
                  <c:v>563.83436999999776</c:v>
                </c:pt>
                <c:pt idx="5">
                  <c:v>-155.34989000000496</c:v>
                </c:pt>
                <c:pt idx="6">
                  <c:v>1139.3475300000046</c:v>
                </c:pt>
                <c:pt idx="7">
                  <c:v>106.37580000000253</c:v>
                </c:pt>
                <c:pt idx="8">
                  <c:v>896.6058600000033</c:v>
                </c:pt>
                <c:pt idx="9">
                  <c:v>74.61341000000175</c:v>
                </c:pt>
                <c:pt idx="10">
                  <c:v>287.90165999999772</c:v>
                </c:pt>
                <c:pt idx="11">
                  <c:v>824.24064999999064</c:v>
                </c:pt>
              </c:numCache>
            </c:numRef>
          </c:val>
        </c:ser>
        <c:ser>
          <c:idx val="1"/>
          <c:order val="1"/>
          <c:tx>
            <c:strRef>
              <c:f>'2019'!$A$43</c:f>
              <c:strCache>
                <c:ptCount val="1"/>
                <c:pt idx="0">
                  <c:v>roční přebytek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4314335277880072E-2"/>
                  <c:y val="-7.65575355712106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31724185120438E-2"/>
                  <c:y val="-3.19981054999704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806591319434471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7039123208650296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500390153933549E-3"/>
                  <c:y val="-3.50798255481222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8.0300773214159041E-4"/>
                  <c:y val="6.51629072681704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010023953318374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 rtl="1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'2019'!$B$43:$M$43</c:f>
              <c:numCache>
                <c:formatCode>#,##0</c:formatCode>
                <c:ptCount val="12"/>
                <c:pt idx="0">
                  <c:v>1376.4040000000005</c:v>
                </c:pt>
                <c:pt idx="1">
                  <c:v>1335.8683199999996</c:v>
                </c:pt>
                <c:pt idx="2">
                  <c:v>1455.1679000000004</c:v>
                </c:pt>
                <c:pt idx="3">
                  <c:v>1920.1891646999975</c:v>
                </c:pt>
                <c:pt idx="4">
                  <c:v>2484.0235347000016</c:v>
                </c:pt>
                <c:pt idx="5">
                  <c:v>2328.6736446999857</c:v>
                </c:pt>
                <c:pt idx="6">
                  <c:v>3468.0211746999921</c:v>
                </c:pt>
                <c:pt idx="7">
                  <c:v>3574.3969746999937</c:v>
                </c:pt>
                <c:pt idx="8">
                  <c:v>4471.0028347000043</c:v>
                </c:pt>
                <c:pt idx="9">
                  <c:v>4545.6162446999951</c:v>
                </c:pt>
                <c:pt idx="10">
                  <c:v>4833.5179046999983</c:v>
                </c:pt>
                <c:pt idx="11">
                  <c:v>5657.7585546999908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3102592"/>
        <c:axId val="133153536"/>
      </c:barChart>
      <c:catAx>
        <c:axId val="13310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31535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153536"/>
        <c:scaling>
          <c:orientation val="minMax"/>
          <c:min val="-200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tis.Kč</a:t>
                </a:r>
              </a:p>
            </c:rich>
          </c:tx>
          <c:layout>
            <c:manualLayout>
              <c:xMode val="edge"/>
              <c:yMode val="edge"/>
              <c:x val="9.0090090090090089E-3"/>
              <c:y val="0.4398496240601503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3102592"/>
        <c:crosses val="autoZero"/>
        <c:crossBetween val="between"/>
        <c:majorUnit val="10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lang="cs-CZ" sz="1000" b="1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lang="cs-CZ" sz="1000" b="1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28648705398311697"/>
          <c:y val="0.87092731829573933"/>
          <c:w val="0.53333427916105092"/>
          <c:h val="0.1052631578947368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cs-CZ" sz="1000" b="1" i="0" u="none" strike="noStrike" kern="1200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171009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17101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2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0.08777</cdr:y>
    </cdr:from>
    <cdr:to>
      <cdr:x>0.99081</cdr:x>
      <cdr:y>0.20751</cdr:y>
    </cdr:to>
    <cdr:sp macro="" textlink="" fLocksText="0">
      <cdr:nvSpPr>
        <cdr:cNvPr id="2049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3528"/>
          <a:ext cx="209812" cy="5052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0.49927</cdr:y>
    </cdr:from>
    <cdr:to>
      <cdr:x>0.52871</cdr:x>
      <cdr:y>0.54227</cdr:y>
    </cdr:to>
    <cdr:sp macro="" textlink="">
      <cdr:nvSpPr>
        <cdr:cNvPr id="205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09869"/>
          <a:ext cx="148776" cy="181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4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5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15769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15769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6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15126" y="370527"/>
          <a:ext cx="209418" cy="5041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7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1900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Finance</vt:lpstr>
    </vt:vector>
  </TitlesOfParts>
  <Company>Jilemnice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Kynčlová</dc:creator>
  <cp:lastModifiedBy>Město Jilemnice</cp:lastModifiedBy>
  <cp:revision>8</cp:revision>
  <cp:lastPrinted>2020-02-13T10:06:00Z</cp:lastPrinted>
  <dcterms:created xsi:type="dcterms:W3CDTF">2020-02-05T08:29:00Z</dcterms:created>
  <dcterms:modified xsi:type="dcterms:W3CDTF">2020-02-28T11:09:00Z</dcterms:modified>
</cp:coreProperties>
</file>